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10365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思源黑体" w:hAnsi="思源黑体" w:eastAsia="思源黑体" w:cs="思源黑体"/>
          <w:b/>
          <w:sz w:val="16"/>
          <w:szCs w:val="16"/>
        </w:rPr>
      </w:pPr>
      <w:r>
        <w:rPr>
          <w:rFonts w:hint="eastAsia" w:ascii="思源黑体" w:hAnsi="思源黑体" w:eastAsia="思源黑体" w:cs="思源黑体"/>
          <w:sz w:val="16"/>
          <w:szCs w:val="16"/>
          <w:lang w:eastAsia="zh-CN"/>
        </w:rPr>
        <w:drawing>
          <wp:anchor distT="0" distB="0" distL="114300" distR="114300" simplePos="0" relativeHeight="251672576" behindDoc="0" locked="0" layoutInCell="1" allowOverlap="1">
            <wp:simplePos x="0" y="0"/>
            <wp:positionH relativeFrom="column">
              <wp:posOffset>2126615</wp:posOffset>
            </wp:positionH>
            <wp:positionV relativeFrom="paragraph">
              <wp:posOffset>1905</wp:posOffset>
            </wp:positionV>
            <wp:extent cx="589915" cy="288290"/>
            <wp:effectExtent l="0" t="0" r="635" b="16510"/>
            <wp:wrapNone/>
            <wp:docPr id="24" name="图片 24" descr="瑞安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瑞安logo"/>
                    <pic:cNvPicPr>
                      <a:picLocks noChangeAspect="1"/>
                    </pic:cNvPicPr>
                  </pic:nvPicPr>
                  <pic:blipFill>
                    <a:blip r:embed="rId14"/>
                    <a:stretch>
                      <a:fillRect/>
                    </a:stretch>
                  </pic:blipFill>
                  <pic:spPr>
                    <a:xfrm>
                      <a:off x="0" y="0"/>
                      <a:ext cx="589915" cy="288290"/>
                    </a:xfrm>
                    <a:prstGeom prst="rect">
                      <a:avLst/>
                    </a:prstGeom>
                  </pic:spPr>
                </pic:pic>
              </a:graphicData>
            </a:graphic>
          </wp:anchor>
        </w:drawing>
      </w:r>
    </w:p>
    <w:p w14:paraId="5017A0A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思源黑体" w:hAnsi="思源黑体" w:eastAsia="思源黑体" w:cs="思源黑体"/>
          <w:sz w:val="16"/>
          <w:szCs w:val="16"/>
          <w:lang w:eastAsia="zh-CN"/>
        </w:rPr>
      </w:pPr>
    </w:p>
    <w:p w14:paraId="38DE0775">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思源黑体" w:hAnsi="思源黑体" w:eastAsia="思源黑体" w:cs="思源黑体"/>
          <w:sz w:val="16"/>
          <w:szCs w:val="16"/>
        </w:rPr>
      </w:pPr>
    </w:p>
    <w:p w14:paraId="2079AE92">
      <w:pPr>
        <w:keepNext w:val="0"/>
        <w:keepLines w:val="0"/>
        <w:pageBreakBefore w:val="0"/>
        <w:widowControl w:val="0"/>
        <w:tabs>
          <w:tab w:val="left" w:pos="4395"/>
        </w:tabs>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z w:val="16"/>
          <w:szCs w:val="16"/>
        </w:rPr>
      </w:pPr>
      <w:r>
        <w:rPr>
          <w:rFonts w:hint="eastAsia" w:ascii="黑体" w:hAnsi="黑体" w:eastAsia="黑体" w:cs="黑体"/>
          <w:sz w:val="16"/>
          <w:szCs w:val="16"/>
        </w:rPr>
        <w:t>4-20mA系列工业及商业用途</w:t>
      </w:r>
    </w:p>
    <w:p w14:paraId="01B31B67">
      <w:pPr>
        <w:keepNext w:val="0"/>
        <w:keepLines w:val="0"/>
        <w:pageBreakBefore w:val="0"/>
        <w:widowControl w:val="0"/>
        <w:tabs>
          <w:tab w:val="left" w:pos="4395"/>
        </w:tabs>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z w:val="16"/>
          <w:szCs w:val="16"/>
        </w:rPr>
      </w:pPr>
      <w:r>
        <w:rPr>
          <w:rFonts w:hint="eastAsia" w:ascii="黑体" w:hAnsi="黑体" w:eastAsia="黑体" w:cs="黑体"/>
          <w:sz w:val="16"/>
          <w:szCs w:val="16"/>
        </w:rPr>
        <w:t>点型可燃气体探测器</w:t>
      </w:r>
    </w:p>
    <w:p w14:paraId="1DAFD918">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0EBCC146">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30F714AF">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263289BD">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5ECB7674">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1CEB097A">
      <w:pPr>
        <w:keepNext w:val="0"/>
        <w:keepLines w:val="0"/>
        <w:pageBreakBefore w:val="0"/>
        <w:widowControl w:val="0"/>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bCs/>
          <w:sz w:val="16"/>
          <w:szCs w:val="16"/>
          <w:lang w:eastAsia="zh-CN"/>
        </w:rPr>
      </w:pPr>
    </w:p>
    <w:p w14:paraId="6828F79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eastAsia" w:ascii="思源黑体" w:hAnsi="思源黑体" w:eastAsia="思源黑体" w:cs="思源黑体"/>
          <w:b/>
          <w:bCs w:val="0"/>
          <w:spacing w:val="20"/>
          <w:sz w:val="32"/>
          <w:szCs w:val="32"/>
          <w:lang w:eastAsia="zh-CN"/>
        </w:rPr>
      </w:pPr>
      <w:r>
        <w:rPr>
          <w:sz w:val="16"/>
        </w:rPr>
        <mc:AlternateContent>
          <mc:Choice Requires="wps">
            <w:drawing>
              <wp:anchor distT="0" distB="0" distL="114300" distR="114300" simplePos="0" relativeHeight="251671552" behindDoc="0" locked="0" layoutInCell="1" allowOverlap="1">
                <wp:simplePos x="0" y="0"/>
                <wp:positionH relativeFrom="column">
                  <wp:posOffset>614680</wp:posOffset>
                </wp:positionH>
                <wp:positionV relativeFrom="paragraph">
                  <wp:posOffset>251460</wp:posOffset>
                </wp:positionV>
                <wp:extent cx="2040890" cy="415290"/>
                <wp:effectExtent l="0" t="0" r="0" b="0"/>
                <wp:wrapNone/>
                <wp:docPr id="21" name="文本框 21"/>
                <wp:cNvGraphicFramePr/>
                <a:graphic xmlns:a="http://schemas.openxmlformats.org/drawingml/2006/main">
                  <a:graphicData uri="http://schemas.microsoft.com/office/word/2010/wordprocessingShape">
                    <wps:wsp>
                      <wps:cNvSpPr txBox="1"/>
                      <wps:spPr>
                        <a:xfrm>
                          <a:off x="944880" y="2704465"/>
                          <a:ext cx="2040890" cy="41529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22889AA4">
                            <w:pPr>
                              <w:keepNext w:val="0"/>
                              <w:keepLines w:val="0"/>
                              <w:pageBreakBefore w:val="0"/>
                              <w:widowControl w:val="0"/>
                              <w:kinsoku/>
                              <w:wordWrap/>
                              <w:overflowPunct/>
                              <w:topLinePunct w:val="0"/>
                              <w:autoSpaceDE/>
                              <w:autoSpaceDN/>
                              <w:bidi w:val="0"/>
                              <w:adjustRightInd/>
                              <w:snapToGrid/>
                              <w:spacing w:line="220" w:lineRule="exact"/>
                              <w:ind w:firstLine="0" w:firstLineChars="0"/>
                              <w:jc w:val="left"/>
                              <w:textAlignment w:val="auto"/>
                              <w:rPr>
                                <w:rFonts w:hint="eastAsia" w:ascii="黑体" w:hAnsi="黑体" w:eastAsia="黑体" w:cs="黑体"/>
                                <w:sz w:val="13"/>
                                <w:szCs w:val="13"/>
                              </w:rPr>
                            </w:pPr>
                            <w:r>
                              <w:rPr>
                                <w:rFonts w:hint="eastAsia" w:ascii="黑体" w:hAnsi="黑体" w:eastAsia="黑体" w:cs="黑体"/>
                                <w:sz w:val="13"/>
                                <w:szCs w:val="13"/>
                              </w:rPr>
                              <w:t>适用型号:</w:t>
                            </w:r>
                            <w:r>
                              <w:rPr>
                                <w:rFonts w:hint="eastAsia" w:ascii="黑体" w:hAnsi="黑体" w:eastAsia="黑体" w:cs="黑体"/>
                                <w:sz w:val="13"/>
                                <w:szCs w:val="13"/>
                                <w:lang w:val="en-US" w:eastAsia="zh-CN"/>
                              </w:rPr>
                              <w:t xml:space="preserve"> </w:t>
                            </w:r>
                            <w:r>
                              <w:rPr>
                                <w:rFonts w:hint="eastAsia" w:ascii="黑体" w:hAnsi="黑体" w:eastAsia="黑体" w:cs="黑体"/>
                                <w:sz w:val="13"/>
                                <w:szCs w:val="13"/>
                              </w:rPr>
                              <w:t>GTYQ-RZLCD15</w:t>
                            </w:r>
                          </w:p>
                          <w:p w14:paraId="36DD83BB">
                            <w:pPr>
                              <w:jc w:val="left"/>
                              <w:rPr>
                                <w:sz w:val="13"/>
                                <w:szCs w:val="13"/>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4pt;margin-top:19.8pt;height:32.7pt;width:160.7pt;z-index:251671552;mso-width-relative:page;mso-height-relative:page;" fillcolor="#000000" filled="t" stroked="t" coordsize="21600,21600" o:gfxdata="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I6XS41QAAAAkBAAAPAAAAAAAAAAEAIAAAACIAAABkcnMvZG93bnJldi54bWxQSwEC&#10;FAAUAAAACACHTuJA1Hf7jGkCAAD/BAAADgAAAAAAAAABACAAAAAkAQAAZHJzL2Uyb0RvYy54bWxQ&#10;SwUGAAAAAAYABgBZAQAA/wUAAAAA&#10;">
                <v:fill on="t" opacity="0f" focussize="0,0"/>
                <v:stroke weight="0.5pt" color="#000000 [3204]" opacity="0f" joinstyle="round"/>
                <v:imagedata o:title=""/>
                <o:lock v:ext="edit" aspectratio="f"/>
                <v:textbox>
                  <w:txbxContent>
                    <w:p w14:paraId="22889AA4">
                      <w:pPr>
                        <w:keepNext w:val="0"/>
                        <w:keepLines w:val="0"/>
                        <w:pageBreakBefore w:val="0"/>
                        <w:widowControl w:val="0"/>
                        <w:kinsoku/>
                        <w:wordWrap/>
                        <w:overflowPunct/>
                        <w:topLinePunct w:val="0"/>
                        <w:autoSpaceDE/>
                        <w:autoSpaceDN/>
                        <w:bidi w:val="0"/>
                        <w:adjustRightInd/>
                        <w:snapToGrid/>
                        <w:spacing w:line="220" w:lineRule="exact"/>
                        <w:ind w:firstLine="0" w:firstLineChars="0"/>
                        <w:jc w:val="left"/>
                        <w:textAlignment w:val="auto"/>
                        <w:rPr>
                          <w:rFonts w:hint="eastAsia" w:ascii="黑体" w:hAnsi="黑体" w:eastAsia="黑体" w:cs="黑体"/>
                          <w:sz w:val="13"/>
                          <w:szCs w:val="13"/>
                        </w:rPr>
                      </w:pPr>
                      <w:r>
                        <w:rPr>
                          <w:rFonts w:hint="eastAsia" w:ascii="黑体" w:hAnsi="黑体" w:eastAsia="黑体" w:cs="黑体"/>
                          <w:sz w:val="13"/>
                          <w:szCs w:val="13"/>
                        </w:rPr>
                        <w:t>适用型号:</w:t>
                      </w:r>
                      <w:r>
                        <w:rPr>
                          <w:rFonts w:hint="eastAsia" w:ascii="黑体" w:hAnsi="黑体" w:eastAsia="黑体" w:cs="黑体"/>
                          <w:sz w:val="13"/>
                          <w:szCs w:val="13"/>
                          <w:lang w:val="en-US" w:eastAsia="zh-CN"/>
                        </w:rPr>
                        <w:t xml:space="preserve"> </w:t>
                      </w:r>
                      <w:r>
                        <w:rPr>
                          <w:rFonts w:hint="eastAsia" w:ascii="黑体" w:hAnsi="黑体" w:eastAsia="黑体" w:cs="黑体"/>
                          <w:sz w:val="13"/>
                          <w:szCs w:val="13"/>
                        </w:rPr>
                        <w:t>GTYQ-RZLCD15</w:t>
                      </w:r>
                    </w:p>
                    <w:p w14:paraId="36DD83BB">
                      <w:pPr>
                        <w:jc w:val="left"/>
                        <w:rPr>
                          <w:sz w:val="13"/>
                          <w:szCs w:val="13"/>
                        </w:rPr>
                      </w:pPr>
                    </w:p>
                  </w:txbxContent>
                </v:textbox>
              </v:shape>
            </w:pict>
          </mc:Fallback>
        </mc:AlternateContent>
      </w:r>
      <w:r>
        <w:rPr>
          <w:rFonts w:hint="eastAsia" w:ascii="思源黑体" w:hAnsi="思源黑体" w:eastAsia="思源黑体" w:cs="思源黑体"/>
          <w:b/>
          <w:bCs w:val="0"/>
          <w:spacing w:val="20"/>
          <w:sz w:val="32"/>
          <w:szCs w:val="32"/>
        </w:rPr>
        <w:t>产品使用说明书</w:t>
      </w:r>
    </w:p>
    <w:p w14:paraId="600FCD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7D92A05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21BC853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2880123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40A9A86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199AD2A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1AFE594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39FDCB9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7BF9238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6"/>
          <w:szCs w:val="16"/>
        </w:rPr>
      </w:pPr>
    </w:p>
    <w:p w14:paraId="051CA31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黑体" w:hAnsi="思源黑体" w:eastAsia="思源黑体" w:cs="思源黑体"/>
          <w:sz w:val="15"/>
          <w:szCs w:val="15"/>
        </w:rPr>
      </w:pPr>
    </w:p>
    <w:p w14:paraId="55694B3E">
      <w:pPr>
        <w:keepNext w:val="0"/>
        <w:keepLines w:val="0"/>
        <w:pageBreakBefore w:val="0"/>
        <w:widowControl w:val="0"/>
        <w:tabs>
          <w:tab w:val="left" w:pos="4395"/>
        </w:tabs>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sz w:val="16"/>
          <w:szCs w:val="16"/>
        </w:rPr>
      </w:pPr>
    </w:p>
    <w:p w14:paraId="47F9BEF1">
      <w:pPr>
        <w:keepNext w:val="0"/>
        <w:keepLines w:val="0"/>
        <w:pageBreakBefore w:val="0"/>
        <w:widowControl w:val="0"/>
        <w:tabs>
          <w:tab w:val="left" w:pos="4395"/>
        </w:tabs>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sz w:val="16"/>
          <w:szCs w:val="16"/>
        </w:rPr>
      </w:pPr>
    </w:p>
    <w:p w14:paraId="03685686">
      <w:pPr>
        <w:keepNext w:val="0"/>
        <w:keepLines w:val="0"/>
        <w:pageBreakBefore w:val="0"/>
        <w:widowControl w:val="0"/>
        <w:tabs>
          <w:tab w:val="left" w:pos="4395"/>
        </w:tabs>
        <w:kinsoku/>
        <w:wordWrap/>
        <w:overflowPunct/>
        <w:topLinePunct w:val="0"/>
        <w:autoSpaceDE/>
        <w:autoSpaceDN/>
        <w:bidi w:val="0"/>
        <w:adjustRightInd/>
        <w:snapToGrid/>
        <w:spacing w:line="240" w:lineRule="exact"/>
        <w:ind w:firstLine="0" w:firstLineChars="0"/>
        <w:jc w:val="both"/>
        <w:textAlignment w:val="auto"/>
        <w:rPr>
          <w:rFonts w:hint="eastAsia" w:ascii="思源黑体" w:hAnsi="思源黑体" w:eastAsia="思源黑体" w:cs="思源黑体"/>
          <w:sz w:val="16"/>
          <w:szCs w:val="16"/>
          <w:lang w:eastAsia="zh-CN"/>
        </w:rPr>
      </w:pPr>
    </w:p>
    <w:p w14:paraId="7AFC1D40">
      <w:pPr>
        <w:snapToGrid w:val="0"/>
        <w:spacing w:line="300" w:lineRule="auto"/>
        <w:ind w:firstLine="0" w:firstLineChars="0"/>
        <w:jc w:val="center"/>
        <w:rPr>
          <w:rFonts w:hint="eastAsia" w:ascii="黑体" w:hAnsi="黑体" w:eastAsia="黑体" w:cs="黑体"/>
          <w:b w:val="0"/>
          <w:bCs w:val="0"/>
          <w:spacing w:val="20"/>
          <w:sz w:val="16"/>
          <w:szCs w:val="16"/>
        </w:rPr>
      </w:pPr>
      <w:r>
        <w:rPr>
          <w:rFonts w:hint="eastAsia" w:ascii="黑体" w:hAnsi="黑体" w:eastAsia="黑体" w:cs="黑体"/>
          <w:b w:val="0"/>
          <w:bCs w:val="0"/>
          <w:spacing w:val="20"/>
          <w:sz w:val="16"/>
          <w:szCs w:val="16"/>
        </w:rPr>
        <w:t>济南瑞安电子有限公司</w:t>
      </w:r>
    </w:p>
    <w:p w14:paraId="6F8E3184">
      <w:pPr>
        <w:bidi w:val="0"/>
        <w:rPr>
          <w:rFonts w:hint="eastAsia"/>
          <w:lang w:val="en-US" w:eastAsia="zh-CN"/>
        </w:rPr>
      </w:pPr>
      <w:r>
        <w:rPr>
          <w:rFonts w:hint="eastAsia"/>
          <w:lang w:val="en-US" w:eastAsia="zh-CN"/>
        </w:rPr>
        <w:t>感谢您购买使用济南瑞安电子有限公司生产的气体探测器产品。为使您能充分享受我公司提供的服务，同时避免因误操作而损坏本机或发生其它意外，在安装使用前，请务必阅读使用说明书。特别是安全使用说明、产品安装、操作部分，必须仔细阅读并切实遵守。同时用户还需考虑所在国家、地区、行业的相关安全使用法规。</w:t>
      </w:r>
    </w:p>
    <w:p w14:paraId="09677813">
      <w:pPr>
        <w:bidi w:val="0"/>
        <w:rPr>
          <w:rFonts w:hint="eastAsia"/>
          <w:lang w:val="en-US" w:eastAsia="zh-CN"/>
        </w:rPr>
      </w:pPr>
      <w:r>
        <w:rPr>
          <w:rFonts w:hint="eastAsia"/>
          <w:lang w:val="en-US" w:eastAsia="zh-CN"/>
        </w:rPr>
        <w:t>济南瑞安电子有限公司保留改进产品和修改说明书而不预先通知的权利。本说明书中的图片仅用于功能说明。若与实物不符，请以实物为准。</w:t>
      </w:r>
    </w:p>
    <w:p w14:paraId="5EC5B5F4">
      <w:pPr>
        <w:bidi w:val="0"/>
        <w:rPr>
          <w:rFonts w:hint="eastAsia"/>
          <w:lang w:val="en-US" w:eastAsia="zh-CN"/>
        </w:rPr>
      </w:pPr>
      <w:r>
        <w:rPr>
          <w:rFonts w:hint="eastAsia"/>
          <w:lang w:val="en-US" w:eastAsia="zh-CN"/>
        </w:rPr>
        <w:t>说明书中可能出现的符号，释义如下：</w:t>
      </w:r>
    </w:p>
    <w:tbl>
      <w:tblPr>
        <w:tblStyle w:val="30"/>
        <w:tblW w:w="4999"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86"/>
        <w:gridCol w:w="3538"/>
      </w:tblGrid>
      <w:tr w14:paraId="44097A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620" w:hRule="atLeast"/>
          <w:tblHeader/>
        </w:trPr>
        <w:tc>
          <w:tcPr>
            <w:tcW w:w="1090" w:type="pct"/>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1FB72693">
            <w:pPr>
              <w:pStyle w:val="7"/>
              <w:bidi w:val="0"/>
              <w:rPr>
                <w:rFonts w:hint="eastAsia"/>
                <w:lang w:val="en-US" w:eastAsia="zh-CN"/>
              </w:rPr>
            </w:pPr>
            <w:r>
              <w:rPr>
                <w:rFonts w:hint="eastAsia"/>
                <w:lang w:val="en-US" w:eastAsia="zh-CN"/>
              </w:rPr>
              <w:t>符 号</w:t>
            </w:r>
          </w:p>
        </w:tc>
        <w:tc>
          <w:tcPr>
            <w:tcW w:w="3909" w:type="pct"/>
            <w:tcBorders>
              <w:top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49FBB2CE">
            <w:pPr>
              <w:pStyle w:val="7"/>
              <w:bidi w:val="0"/>
              <w:rPr>
                <w:rFonts w:hint="eastAsia"/>
                <w:lang w:val="en-US" w:eastAsia="zh-CN"/>
              </w:rPr>
            </w:pPr>
            <w:r>
              <w:rPr>
                <w:rFonts w:hint="eastAsia"/>
                <w:lang w:val="en-US" w:eastAsia="zh-CN"/>
              </w:rPr>
              <w:t>说 明</w:t>
            </w:r>
          </w:p>
        </w:tc>
      </w:tr>
      <w:tr w14:paraId="3144A4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1090" w:type="pct"/>
            <w:shd w:val="clear" w:color="auto" w:fill="auto"/>
            <w:vAlign w:val="center"/>
          </w:tcPr>
          <w:p w14:paraId="2E2B7081">
            <w:pPr>
              <w:pStyle w:val="7"/>
              <w:bidi w:val="0"/>
              <w:rPr>
                <w:rFonts w:hint="eastAsia"/>
                <w:lang w:val="en-US" w:eastAsia="zh-CN"/>
              </w:rPr>
            </w:pPr>
            <w:r>
              <w:rPr>
                <w:rFonts w:hint="eastAsia"/>
                <w:lang w:val="en-US" w:eastAsia="zh-CN"/>
              </w:rPr>
              <w:drawing>
                <wp:anchor distT="0" distB="0" distL="0" distR="0" simplePos="0" relativeHeight="251664384" behindDoc="0" locked="0" layoutInCell="1" allowOverlap="1">
                  <wp:simplePos x="0" y="0"/>
                  <wp:positionH relativeFrom="column">
                    <wp:posOffset>10160</wp:posOffset>
                  </wp:positionH>
                  <wp:positionV relativeFrom="paragraph">
                    <wp:posOffset>77470</wp:posOffset>
                  </wp:positionV>
                  <wp:extent cx="431800" cy="189230"/>
                  <wp:effectExtent l="0" t="0" r="6350" b="1270"/>
                  <wp:wrapTopAndBottom/>
                  <wp:docPr id="9" name="图片 9"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3. 事务性工作\2020\2020Q1\2020.04 海康资料体系（九本书）和Word手册样式模板更新\图片\注意0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1800" cy="189230"/>
                          </a:xfrm>
                          <a:prstGeom prst="rect">
                            <a:avLst/>
                          </a:prstGeom>
                          <a:noFill/>
                          <a:ln>
                            <a:noFill/>
                          </a:ln>
                        </pic:spPr>
                      </pic:pic>
                    </a:graphicData>
                  </a:graphic>
                </wp:anchor>
              </w:drawing>
            </w:r>
          </w:p>
        </w:tc>
        <w:tc>
          <w:tcPr>
            <w:tcW w:w="3909" w:type="pct"/>
            <w:shd w:val="clear" w:color="auto" w:fill="auto"/>
            <w:vAlign w:val="center"/>
          </w:tcPr>
          <w:p w14:paraId="2CE4691E">
            <w:pPr>
              <w:pStyle w:val="7"/>
              <w:bidi w:val="0"/>
              <w:jc w:val="left"/>
              <w:rPr>
                <w:rFonts w:hint="eastAsia"/>
                <w:lang w:val="en-US" w:eastAsia="zh-CN"/>
              </w:rPr>
            </w:pPr>
            <w:r>
              <w:rPr>
                <w:rFonts w:hint="eastAsia"/>
                <w:lang w:val="en-US" w:eastAsia="zh-CN"/>
              </w:rPr>
              <w:t>注意类文字，表示提醒用户一些重要的操作或者防范潜在的伤害和财产损失危险。如果不加避免，有可能造成伤害事故、设备损坏或业务中断。</w:t>
            </w:r>
          </w:p>
        </w:tc>
      </w:tr>
      <w:tr w14:paraId="5ACCF5C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1090" w:type="pct"/>
            <w:shd w:val="clear" w:color="auto" w:fill="auto"/>
            <w:vAlign w:val="center"/>
          </w:tcPr>
          <w:p w14:paraId="63CC26E5">
            <w:pPr>
              <w:pStyle w:val="7"/>
              <w:bidi w:val="0"/>
              <w:rPr>
                <w:rFonts w:hint="eastAsia"/>
                <w:lang w:val="en-US" w:eastAsia="zh-CN"/>
              </w:rPr>
            </w:pPr>
            <w:r>
              <w:rPr>
                <w:rFonts w:hint="eastAsia"/>
                <w:lang w:val="en-US" w:eastAsia="zh-CN"/>
              </w:rPr>
              <w:drawing>
                <wp:anchor distT="0" distB="0" distL="0" distR="0" simplePos="0" relativeHeight="251663360" behindDoc="0" locked="0" layoutInCell="1" allowOverlap="1">
                  <wp:simplePos x="0" y="0"/>
                  <wp:positionH relativeFrom="column">
                    <wp:posOffset>10160</wp:posOffset>
                  </wp:positionH>
                  <wp:positionV relativeFrom="paragraph">
                    <wp:posOffset>123825</wp:posOffset>
                  </wp:positionV>
                  <wp:extent cx="431800" cy="186690"/>
                  <wp:effectExtent l="0" t="0" r="6350" b="3810"/>
                  <wp:wrapSquare wrapText="bothSides"/>
                  <wp:docPr id="25" name="图片 25"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3. 事务性工作\2020\2020Q1\2020.04 海康资料体系（九本书）和Word手册样式模板更新\图片\危险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31800" cy="186690"/>
                          </a:xfrm>
                          <a:prstGeom prst="rect">
                            <a:avLst/>
                          </a:prstGeom>
                          <a:noFill/>
                          <a:ln>
                            <a:noFill/>
                          </a:ln>
                        </pic:spPr>
                      </pic:pic>
                    </a:graphicData>
                  </a:graphic>
                </wp:anchor>
              </w:drawing>
            </w:r>
          </w:p>
        </w:tc>
        <w:tc>
          <w:tcPr>
            <w:tcW w:w="3909" w:type="pct"/>
            <w:shd w:val="clear" w:color="auto" w:fill="auto"/>
            <w:vAlign w:val="center"/>
          </w:tcPr>
          <w:p w14:paraId="0EA87852">
            <w:pPr>
              <w:pStyle w:val="7"/>
              <w:bidi w:val="0"/>
              <w:jc w:val="left"/>
              <w:rPr>
                <w:rFonts w:hint="eastAsia"/>
                <w:lang w:val="en-US" w:eastAsia="zh-CN"/>
              </w:rPr>
            </w:pPr>
            <w:r>
              <w:rPr>
                <w:rFonts w:hint="eastAsia"/>
                <w:lang w:val="en-US" w:eastAsia="zh-CN"/>
              </w:rPr>
              <w:t>危险类文字，表示有潜在高风险，如果不加避免，有可能造成人员伤亡的重大危险。</w:t>
            </w:r>
          </w:p>
        </w:tc>
      </w:tr>
    </w:tbl>
    <w:p w14:paraId="7DF7F3C9">
      <w:pPr>
        <w:bidi w:val="0"/>
        <w:rPr>
          <w:rFonts w:hint="eastAsia"/>
          <w:lang w:val="en-US" w:eastAsia="zh-CN"/>
        </w:rPr>
      </w:pPr>
      <w:r>
        <w:rPr>
          <w:rFonts w:hint="eastAsia"/>
          <w:lang w:val="en-US" w:eastAsia="zh-CN"/>
        </w:rPr>
        <w:t>安全使用注意事项</w:t>
      </w:r>
    </w:p>
    <w:p w14:paraId="146C5E5B">
      <w:pPr>
        <w:bidi w:val="0"/>
        <w:rPr>
          <w:rFonts w:hint="eastAsia"/>
          <w:lang w:val="en-US" w:eastAsia="zh-CN"/>
        </w:rPr>
      </w:pPr>
      <w:r>
        <w:rPr>
          <w:rFonts w:hint="eastAsia"/>
          <w:lang w:val="en-US" w:eastAsia="zh-CN"/>
        </w:rPr>
        <w:t>设备为消防安全产品，涉及生命财产安全，责任重大，为保证产品发挥最大的安全效能，请在安装、调试、使用和维护前仔细阅读本手册，并严格按照本手册的要求进行安装、调试、使用和维护。</w:t>
      </w:r>
    </w:p>
    <w:p w14:paraId="01FE0E00">
      <w:pPr>
        <w:bidi w:val="0"/>
        <w:rPr>
          <w:rFonts w:hint="eastAsia"/>
          <w:lang w:val="en-US" w:eastAsia="zh-CN"/>
        </w:rPr>
      </w:pPr>
    </w:p>
    <w:p w14:paraId="75104610">
      <w:pPr>
        <w:bidi w:val="0"/>
        <w:rPr>
          <w:rFonts w:hint="eastAsia" w:ascii="思源黑体" w:hAnsi="思源黑体" w:eastAsia="思源黑体" w:cs="思源黑体"/>
          <w:sz w:val="15"/>
          <w:szCs w:val="15"/>
          <w:lang w:val="en-US" w:eastAsia="zh-CN"/>
        </w:rPr>
      </w:pPr>
    </w:p>
    <w:p w14:paraId="5116A350">
      <w:pPr>
        <w:bidi w:val="0"/>
        <w:rPr>
          <w:rFonts w:hint="eastAsia" w:ascii="思源黑体" w:hAnsi="思源黑体" w:eastAsia="思源黑体" w:cs="思源黑体"/>
          <w:sz w:val="16"/>
          <w:szCs w:val="16"/>
          <w:lang w:val="en-US" w:eastAsia="zh-CN"/>
        </w:rPr>
      </w:pPr>
    </w:p>
    <w:p w14:paraId="5AF6880D">
      <w:pPr>
        <w:bidi w:val="0"/>
        <w:rPr>
          <w:rFonts w:hint="eastAsia" w:ascii="思源黑体" w:hAnsi="思源黑体" w:eastAsia="思源黑体" w:cs="思源黑体"/>
          <w:sz w:val="16"/>
          <w:szCs w:val="16"/>
          <w:lang w:val="en-US" w:eastAsia="zh-CN"/>
        </w:rPr>
      </w:pPr>
      <w:r>
        <w:rPr>
          <w:rFonts w:hint="eastAsia" w:ascii="思源黑体" w:hAnsi="思源黑体" w:eastAsia="思源黑体" w:cs="思源黑体"/>
          <w:kern w:val="2"/>
          <w:sz w:val="16"/>
          <w:szCs w:val="16"/>
          <w:lang w:val="en-US" w:eastAsia="zh-CN" w:bidi="ar-SA"/>
        </w:rPr>
        <w:drawing>
          <wp:anchor distT="0" distB="0" distL="0" distR="0" simplePos="0" relativeHeight="251665408" behindDoc="0" locked="0" layoutInCell="1" allowOverlap="1">
            <wp:simplePos x="0" y="0"/>
            <wp:positionH relativeFrom="column">
              <wp:posOffset>123825</wp:posOffset>
            </wp:positionH>
            <wp:positionV relativeFrom="paragraph">
              <wp:posOffset>125095</wp:posOffset>
            </wp:positionV>
            <wp:extent cx="485775" cy="209550"/>
            <wp:effectExtent l="0" t="0" r="9525" b="0"/>
            <wp:wrapNone/>
            <wp:docPr id="26" name="图片 26"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3. 事务性工作\2020\2020Q1\2020.04 海康资料体系（九本书）和Word手册样式模板更新\图片\危险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85775" cy="209550"/>
                    </a:xfrm>
                    <a:prstGeom prst="rect">
                      <a:avLst/>
                    </a:prstGeom>
                    <a:noFill/>
                    <a:ln>
                      <a:noFill/>
                    </a:ln>
                  </pic:spPr>
                </pic:pic>
              </a:graphicData>
            </a:graphic>
          </wp:anchor>
        </w:drawing>
      </w:r>
    </w:p>
    <w:p w14:paraId="04FEBDB8">
      <w:pPr>
        <w:keepNext w:val="0"/>
        <w:keepLines w:val="0"/>
        <w:pageBreakBefore w:val="0"/>
        <w:widowControl w:val="0"/>
        <w:kinsoku/>
        <w:wordWrap/>
        <w:overflowPunct/>
        <w:topLinePunct w:val="0"/>
        <w:autoSpaceDE/>
        <w:autoSpaceDN/>
        <w:bidi w:val="0"/>
        <w:adjustRightInd w:val="0"/>
        <w:snapToGrid w:val="0"/>
        <w:spacing w:before="120" w:line="240" w:lineRule="exact"/>
        <w:ind w:left="0" w:leftChars="0" w:firstLine="0" w:firstLineChars="0"/>
        <w:textAlignment w:val="auto"/>
        <w:rPr>
          <w:rFonts w:hint="eastAsia" w:ascii="思源黑体" w:hAnsi="思源黑体" w:eastAsia="思源黑体" w:cs="思源黑体"/>
          <w:kern w:val="2"/>
          <w:sz w:val="16"/>
          <w:szCs w:val="16"/>
          <w:lang w:val="en-US" w:eastAsia="zh-CN" w:bidi="ar-SA"/>
        </w:rPr>
      </w:pPr>
    </w:p>
    <w:p w14:paraId="1AD63891">
      <w:pPr>
        <w:bidi w:val="0"/>
        <w:rPr>
          <w:rFonts w:hint="eastAsia"/>
          <w:lang w:val="en-US" w:eastAsia="zh-CN"/>
        </w:rPr>
      </w:pPr>
      <w:r>
        <w:rPr>
          <w:rFonts w:hint="eastAsia"/>
          <w:lang w:val="en-US" w:eastAsia="zh-CN"/>
        </w:rPr>
        <w:t>产品安装使用过程中，必须严格遵守国家和使用地区的各项电气安全规定。</w:t>
      </w:r>
    </w:p>
    <w:p w14:paraId="363D3F4B">
      <w:pPr>
        <w:bidi w:val="0"/>
        <w:rPr>
          <w:rFonts w:hint="eastAsia"/>
          <w:lang w:val="en-US" w:eastAsia="zh-CN"/>
        </w:rPr>
      </w:pPr>
      <w:r>
        <w:rPr>
          <w:rFonts w:hint="eastAsia"/>
          <w:lang w:val="en-US" w:eastAsia="zh-CN"/>
        </w:rPr>
        <w:t>在接线、拆装、维修等操作时请一定要将产品所有电源断开，切勿带电操作，并要保证操作环境中无危险气体。</w:t>
      </w:r>
    </w:p>
    <w:p w14:paraId="49DBE62E">
      <w:pPr>
        <w:bidi w:val="0"/>
        <w:rPr>
          <w:rFonts w:hint="eastAsia" w:ascii="思源黑体" w:hAnsi="思源黑体" w:eastAsia="思源黑体" w:cs="思源黑体"/>
          <w:sz w:val="16"/>
          <w:szCs w:val="16"/>
          <w:lang w:val="en-US" w:eastAsia="zh-CN"/>
        </w:rPr>
      </w:pPr>
      <w:r>
        <w:rPr>
          <w:rFonts w:hint="eastAsia" w:ascii="思源黑体" w:hAnsi="思源黑体" w:eastAsia="思源黑体" w:cs="思源黑体"/>
          <w:kern w:val="2"/>
          <w:sz w:val="16"/>
          <w:szCs w:val="16"/>
          <w:lang w:val="en-US" w:eastAsia="zh-CN" w:bidi="ar-SA"/>
        </w:rPr>
        <w:drawing>
          <wp:anchor distT="0" distB="0" distL="0" distR="0" simplePos="0" relativeHeight="251666432" behindDoc="0" locked="0" layoutInCell="1" allowOverlap="1">
            <wp:simplePos x="0" y="0"/>
            <wp:positionH relativeFrom="column">
              <wp:posOffset>123825</wp:posOffset>
            </wp:positionH>
            <wp:positionV relativeFrom="line">
              <wp:posOffset>87630</wp:posOffset>
            </wp:positionV>
            <wp:extent cx="471805" cy="206375"/>
            <wp:effectExtent l="0" t="0" r="4445" b="3175"/>
            <wp:wrapNone/>
            <wp:docPr id="27" name="图片 27"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3. 事务性工作\2020\2020Q1\2020.04 海康资料体系（九本书）和Word手册样式模板更新\图片\注意0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71805" cy="206375"/>
                    </a:xfrm>
                    <a:prstGeom prst="rect">
                      <a:avLst/>
                    </a:prstGeom>
                    <a:noFill/>
                    <a:ln>
                      <a:noFill/>
                    </a:ln>
                  </pic:spPr>
                </pic:pic>
              </a:graphicData>
            </a:graphic>
          </wp:anchor>
        </w:drawing>
      </w:r>
    </w:p>
    <w:p w14:paraId="3B06457A">
      <w:pPr>
        <w:bidi w:val="0"/>
        <w:ind w:left="0" w:leftChars="0" w:firstLine="0" w:firstLineChars="0"/>
        <w:rPr>
          <w:rFonts w:hint="eastAsia" w:ascii="思源黑体" w:hAnsi="思源黑体" w:eastAsia="思源黑体" w:cs="思源黑体"/>
          <w:sz w:val="16"/>
          <w:szCs w:val="16"/>
          <w:lang w:val="en-US" w:eastAsia="zh-CN"/>
        </w:rPr>
      </w:pPr>
    </w:p>
    <w:p w14:paraId="0C44BD3F">
      <w:pPr>
        <w:bidi w:val="0"/>
        <w:rPr>
          <w:rFonts w:hint="eastAsia"/>
          <w:lang w:val="en-US" w:eastAsia="zh-CN"/>
        </w:rPr>
      </w:pPr>
      <w:r>
        <w:rPr>
          <w:rFonts w:hint="eastAsia"/>
          <w:lang w:val="en-US" w:eastAsia="zh-CN"/>
        </w:rPr>
        <w:t>在正确安装并有效维护本产品时方可正常实现产品功能。本产品用于辅助您预防灾害，但是不能替代您进行现场查验，也无法阻止事故发生或扩大。</w:t>
      </w:r>
    </w:p>
    <w:p w14:paraId="1F58FD35">
      <w:pPr>
        <w:bidi w:val="0"/>
        <w:rPr>
          <w:rFonts w:hint="eastAsia"/>
          <w:lang w:val="en-US" w:eastAsia="zh-CN"/>
        </w:rPr>
      </w:pPr>
      <w:r>
        <w:rPr>
          <w:rFonts w:hint="eastAsia"/>
          <w:lang w:val="en-US" w:eastAsia="zh-CN"/>
        </w:rPr>
        <w:t>使用前请检查探测器外壳有无裂痕或是否缺少零部件。如果探测器已有损坏或缺少零部件，请与制造商联系。尽管气体探测器出厂时已作标定，但为了更好的保证探测器的检测精度和可靠性，仍建议在现场使用环境下做一次全新的标定，按照“操作说明中标定”进行标定。避免本仪器经常接触浓度超出检测范围的高浓度气样，否则会缩短传感器寿命。</w:t>
      </w:r>
    </w:p>
    <w:p w14:paraId="58B0BABF">
      <w:pPr>
        <w:bidi w:val="0"/>
        <w:rPr>
          <w:rFonts w:hint="eastAsia"/>
          <w:lang w:val="en-US" w:eastAsia="zh-CN"/>
        </w:rPr>
      </w:pPr>
      <w:r>
        <w:rPr>
          <w:rFonts w:hint="eastAsia"/>
          <w:lang w:val="en-US" w:eastAsia="zh-CN"/>
        </w:rPr>
        <w:t>安装本机必须严格按照说明书内容并遵照国家电气及本地的电气安装规定，否则可能导致不可预知的严重后果！探测器必须安全接地，以防受到射频干扰的影响。</w:t>
      </w:r>
    </w:p>
    <w:p w14:paraId="353319BB">
      <w:pPr>
        <w:bidi w:val="0"/>
        <w:rPr>
          <w:rFonts w:hint="eastAsia"/>
          <w:lang w:val="en-US" w:eastAsia="zh-CN"/>
        </w:rPr>
      </w:pPr>
      <w:r>
        <w:rPr>
          <w:rFonts w:hint="eastAsia"/>
          <w:lang w:val="en-US" w:eastAsia="zh-CN"/>
        </w:rPr>
        <w:t>可燃性气体传感器受到毒气或其他抑制剂影响时（如硅树脂、硫、铅或卤代碳氢化合物等），灵敏度会降低。</w:t>
      </w:r>
    </w:p>
    <w:p w14:paraId="4828D5D2">
      <w:pPr>
        <w:bidi w:val="0"/>
        <w:rPr>
          <w:rFonts w:hint="eastAsia"/>
          <w:lang w:val="en-US" w:eastAsia="zh-CN"/>
        </w:rPr>
      </w:pPr>
      <w:r>
        <w:rPr>
          <w:rFonts w:hint="eastAsia"/>
          <w:lang w:val="en-US" w:eastAsia="zh-CN"/>
        </w:rPr>
        <w:t>切勿擅自或任意拆卸传感器。不得将传感器置于超建议范围的温度下。不得将传感器置于有机溶剂或可燃性液体中。</w:t>
      </w:r>
    </w:p>
    <w:p w14:paraId="2D1E4761">
      <w:pPr>
        <w:bidi w:val="0"/>
        <w:rPr>
          <w:rFonts w:hint="eastAsia"/>
          <w:lang w:val="en-US" w:eastAsia="zh-CN"/>
        </w:rPr>
      </w:pPr>
      <w:r>
        <w:rPr>
          <w:rFonts w:hint="eastAsia"/>
          <w:lang w:val="en-US" w:eastAsia="zh-CN"/>
        </w:rPr>
        <w:t>探测器使用期限达到时，应从环保角度，依照地方废物管理以及环境法规的要求进行安全处理。</w:t>
      </w:r>
    </w:p>
    <w:p w14:paraId="2A3EEF50">
      <w:pPr>
        <w:bidi w:val="0"/>
        <w:rPr>
          <w:rFonts w:hint="eastAsia"/>
        </w:rPr>
      </w:pPr>
      <w:r>
        <w:rPr>
          <w:rFonts w:hint="eastAsia"/>
          <w:lang w:val="en-US" w:eastAsia="zh-CN"/>
        </w:rPr>
        <w:t>为防止伤害，必须将设备牢固地固定于墙壁/地面上。请不要使物体摔落到产品上或大力振动产品，使产品远离存在磁场干扰的地点。避免将产品安装到表面振动或容易受到冲击的地方（忽视此项可能会损坏产品）。避免探测器受到电击或剧烈、连续的机械撞击。</w:t>
      </w:r>
    </w:p>
    <w:p w14:paraId="66FD7819">
      <w:pPr>
        <w:pStyle w:val="32"/>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CED1E2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B3A56FB">
      <w:pPr>
        <w:pStyle w:val="10"/>
        <w:pageBreakBefore w:val="0"/>
        <w:widowControl w:val="0"/>
        <w:tabs>
          <w:tab w:val="right" w:leader="dot" w:pos="7218"/>
        </w:tabs>
        <w:kinsoku/>
        <w:wordWrap/>
        <w:overflowPunct/>
        <w:topLinePunct w:val="0"/>
        <w:autoSpaceDE/>
        <w:autoSpaceDN/>
        <w:bidi w:val="0"/>
        <w:spacing w:line="240" w:lineRule="exact"/>
        <w:textAlignment w:val="auto"/>
        <w:rPr>
          <w:rFonts w:hint="eastAsia" w:ascii="思源黑体" w:hAnsi="思源黑体" w:eastAsia="思源黑体" w:cs="思源黑体"/>
          <w:b/>
          <w:sz w:val="16"/>
          <w:szCs w:val="16"/>
        </w:rPr>
      </w:pPr>
    </w:p>
    <w:p w14:paraId="72530C40">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030977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9452DAE">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42EC7AE">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9D8AED7">
      <w:pPr>
        <w:pStyle w:val="2"/>
        <w:bidi w:val="0"/>
        <w:rPr>
          <w:rFonts w:hint="eastAsia" w:ascii="思源黑体" w:hAnsi="思源黑体" w:eastAsia="思源黑体" w:cs="思源黑体"/>
          <w:sz w:val="16"/>
          <w:szCs w:val="16"/>
        </w:rPr>
      </w:pPr>
    </w:p>
    <w:p w14:paraId="6A314775">
      <w:pPr>
        <w:rPr>
          <w:rFonts w:hint="eastAsia" w:ascii="思源黑体" w:hAnsi="思源黑体" w:eastAsia="思源黑体" w:cs="思源黑体"/>
          <w:sz w:val="16"/>
          <w:szCs w:val="16"/>
        </w:rPr>
      </w:pPr>
    </w:p>
    <w:p w14:paraId="11F030FE">
      <w:pPr>
        <w:rPr>
          <w:rFonts w:hint="eastAsia" w:ascii="思源黑体" w:hAnsi="思源黑体" w:eastAsia="思源黑体" w:cs="思源黑体"/>
          <w:sz w:val="16"/>
          <w:szCs w:val="16"/>
        </w:rPr>
      </w:pPr>
    </w:p>
    <w:p w14:paraId="412738CE">
      <w:pPr>
        <w:rPr>
          <w:rFonts w:hint="eastAsia" w:ascii="思源黑体" w:hAnsi="思源黑体" w:eastAsia="思源黑体" w:cs="思源黑体"/>
          <w:sz w:val="16"/>
          <w:szCs w:val="16"/>
        </w:rPr>
      </w:pPr>
    </w:p>
    <w:p w14:paraId="6F556F79">
      <w:pPr>
        <w:rPr>
          <w:rFonts w:hint="eastAsia" w:ascii="思源黑体" w:hAnsi="思源黑体" w:eastAsia="思源黑体" w:cs="思源黑体"/>
          <w:sz w:val="16"/>
          <w:szCs w:val="16"/>
        </w:rPr>
      </w:pPr>
    </w:p>
    <w:p w14:paraId="4115A4A9">
      <w:pPr>
        <w:rPr>
          <w:rFonts w:hint="eastAsia" w:ascii="思源黑体" w:hAnsi="思源黑体" w:eastAsia="思源黑体" w:cs="思源黑体"/>
          <w:sz w:val="16"/>
          <w:szCs w:val="16"/>
        </w:rPr>
      </w:pPr>
    </w:p>
    <w:p w14:paraId="306C2FDC">
      <w:pPr>
        <w:ind w:left="0" w:leftChars="0" w:firstLine="0" w:firstLineChars="0"/>
        <w:rPr>
          <w:rFonts w:hint="eastAsia" w:ascii="思源黑体" w:hAnsi="思源黑体" w:eastAsia="思源黑体" w:cs="思源黑体"/>
          <w:sz w:val="16"/>
          <w:szCs w:val="16"/>
        </w:rPr>
      </w:pPr>
    </w:p>
    <w:p w14:paraId="23718E4B">
      <w:pPr>
        <w:rPr>
          <w:rFonts w:hint="eastAsia" w:ascii="思源黑体" w:hAnsi="思源黑体" w:eastAsia="思源黑体" w:cs="思源黑体"/>
          <w:sz w:val="16"/>
          <w:szCs w:val="16"/>
        </w:rPr>
      </w:pPr>
    </w:p>
    <w:p w14:paraId="71E470DE">
      <w:pPr>
        <w:rPr>
          <w:rFonts w:hint="eastAsia" w:ascii="思源黑体" w:hAnsi="思源黑体" w:eastAsia="思源黑体" w:cs="思源黑体"/>
          <w:sz w:val="16"/>
          <w:szCs w:val="16"/>
        </w:rPr>
      </w:pPr>
    </w:p>
    <w:p w14:paraId="5646792F">
      <w:pPr>
        <w:rPr>
          <w:rFonts w:hint="eastAsia" w:ascii="思源黑体" w:hAnsi="思源黑体" w:eastAsia="思源黑体" w:cs="思源黑体"/>
          <w:sz w:val="16"/>
          <w:szCs w:val="16"/>
        </w:rPr>
      </w:pPr>
    </w:p>
    <w:p w14:paraId="7DDC6659">
      <w:pPr>
        <w:rPr>
          <w:rFonts w:hint="eastAsia" w:ascii="思源黑体" w:hAnsi="思源黑体" w:eastAsia="思源黑体" w:cs="思源黑体"/>
          <w:sz w:val="16"/>
          <w:szCs w:val="16"/>
        </w:rPr>
      </w:pPr>
    </w:p>
    <w:p w14:paraId="7174BB90">
      <w:pPr>
        <w:rPr>
          <w:rFonts w:hint="eastAsia" w:ascii="思源黑体" w:hAnsi="思源黑体" w:eastAsia="思源黑体" w:cs="思源黑体"/>
          <w:sz w:val="16"/>
          <w:szCs w:val="16"/>
        </w:rPr>
      </w:pPr>
    </w:p>
    <w:p w14:paraId="3F838738">
      <w:pPr>
        <w:snapToGrid/>
        <w:spacing w:before="0" w:beforeLines="0" w:after="0" w:afterLines="0" w:line="240" w:lineRule="auto"/>
        <w:ind w:left="0" w:leftChars="0" w:right="0" w:rightChars="0" w:firstLine="0" w:firstLineChars="0"/>
        <w:jc w:val="center"/>
        <w:rPr>
          <w:rFonts w:hint="eastAsia" w:ascii="思源黑体" w:hAnsi="思源黑体" w:eastAsia="思源黑体" w:cs="思源黑体"/>
          <w:kern w:val="2"/>
          <w:sz w:val="20"/>
          <w:szCs w:val="20"/>
          <w:lang w:val="en-US" w:eastAsia="zh-CN" w:bidi="ar-SA"/>
        </w:rPr>
        <w:sectPr>
          <w:headerReference r:id="rId5" w:type="default"/>
          <w:pgSz w:w="5669" w:h="7937"/>
          <w:pgMar w:top="680" w:right="680" w:bottom="680" w:left="680" w:header="397" w:footer="397" w:gutter="0"/>
          <w:pgNumType w:fmt="decimal" w:start="0"/>
          <w:cols w:space="0" w:num="1"/>
          <w:titlePg/>
          <w:rtlGutter w:val="0"/>
          <w:docGrid w:type="lines" w:linePitch="329" w:charSpace="0"/>
        </w:sectPr>
      </w:pPr>
    </w:p>
    <w:sdt>
      <w:sdtPr>
        <w:rPr>
          <w:rFonts w:hint="eastAsia" w:ascii="思源黑体" w:hAnsi="思源黑体" w:eastAsia="思源黑体" w:cs="思源黑体"/>
          <w:kern w:val="2"/>
          <w:sz w:val="20"/>
          <w:szCs w:val="20"/>
          <w:lang w:val="en-US" w:eastAsia="zh-CN" w:bidi="ar-SA"/>
        </w:rPr>
        <w:id w:val="147463642"/>
        <w15:color w:val="DBDBDB"/>
        <w:docPartObj>
          <w:docPartGallery w:val="Table of Contents"/>
          <w:docPartUnique/>
        </w:docPartObj>
      </w:sdtPr>
      <w:sdtEndPr>
        <w:rPr>
          <w:rFonts w:hint="eastAsia" w:ascii="思源黑体" w:hAnsi="思源黑体" w:eastAsia="思源黑体" w:cs="思源黑体"/>
          <w:kern w:val="2"/>
          <w:sz w:val="16"/>
          <w:szCs w:val="16"/>
          <w:lang w:val="en-US" w:eastAsia="zh-CN" w:bidi="ar-SA"/>
        </w:rPr>
      </w:sdtEndPr>
      <w:sdtContent>
        <w:p w14:paraId="082DB239">
          <w:pPr>
            <w:snapToGrid/>
            <w:spacing w:before="0" w:beforeLines="0" w:after="0" w:afterLines="0" w:line="240" w:lineRule="auto"/>
            <w:ind w:left="0" w:leftChars="0" w:right="0" w:rightChars="0" w:firstLine="0" w:firstLineChars="0"/>
            <w:jc w:val="center"/>
            <w:rPr>
              <w:rFonts w:hint="eastAsia" w:ascii="思源黑体" w:hAnsi="思源黑体" w:eastAsia="思源黑体" w:cs="思源黑体"/>
              <w:sz w:val="20"/>
              <w:szCs w:val="20"/>
            </w:rPr>
          </w:pPr>
          <w:r>
            <w:rPr>
              <w:rFonts w:hint="eastAsia" w:ascii="宋体" w:hAnsi="宋体" w:eastAsia="宋体" w:cs="宋体"/>
              <w:b/>
              <w:bCs/>
              <w:sz w:val="21"/>
              <w:szCs w:val="21"/>
            </w:rPr>
            <w:t>目</w:t>
          </w:r>
          <w:r>
            <w:rPr>
              <w:rFonts w:hint="eastAsia" w:ascii="宋体" w:hAnsi="宋体" w:eastAsia="宋体" w:cs="宋体"/>
              <w:b/>
              <w:bCs/>
              <w:sz w:val="21"/>
              <w:szCs w:val="21"/>
              <w:lang w:val="en-US" w:eastAsia="zh-CN"/>
            </w:rPr>
            <w:t xml:space="preserve"> </w:t>
          </w:r>
          <w:r>
            <w:rPr>
              <w:rFonts w:hint="eastAsia" w:ascii="宋体" w:hAnsi="宋体" w:eastAsia="宋体" w:cs="宋体"/>
              <w:b/>
              <w:bCs/>
              <w:sz w:val="21"/>
              <w:szCs w:val="21"/>
            </w:rPr>
            <w:t>录</w:t>
          </w:r>
        </w:p>
        <w:p w14:paraId="3A2AEC38">
          <w:pPr>
            <w:pStyle w:val="10"/>
            <w:tabs>
              <w:tab w:val="right" w:leader="dot" w:pos="4309"/>
            </w:tabs>
          </w:pPr>
          <w:bookmarkStart w:id="45" w:name="_GoBack"/>
          <w:bookmarkEnd w:id="45"/>
          <w:r>
            <w:rPr>
              <w:rFonts w:hint="eastAsia" w:ascii="宋体" w:hAnsi="宋体" w:eastAsia="宋体" w:cs="宋体"/>
              <w:sz w:val="16"/>
              <w:szCs w:val="16"/>
            </w:rPr>
            <w:fldChar w:fldCharType="begin"/>
          </w:r>
          <w:r>
            <w:rPr>
              <w:rFonts w:hint="eastAsia" w:ascii="宋体" w:hAnsi="宋体" w:eastAsia="宋体" w:cs="宋体"/>
              <w:sz w:val="16"/>
              <w:szCs w:val="16"/>
            </w:rPr>
            <w:instrText xml:space="preserve">TOC \o "1-3" \h \u </w:instrText>
          </w:r>
          <w:r>
            <w:rPr>
              <w:rFonts w:hint="eastAsia" w:ascii="宋体" w:hAnsi="宋体" w:eastAsia="宋体" w:cs="宋体"/>
              <w:sz w:val="16"/>
              <w:szCs w:val="16"/>
            </w:rPr>
            <w:fldChar w:fldCharType="separate"/>
          </w:r>
          <w:r>
            <w:rPr>
              <w:rFonts w:hint="eastAsia" w:ascii="宋体" w:hAnsi="宋体" w:eastAsia="宋体" w:cs="宋体"/>
              <w:szCs w:val="16"/>
            </w:rPr>
            <w:fldChar w:fldCharType="begin"/>
          </w:r>
          <w:r>
            <w:rPr>
              <w:rFonts w:hint="eastAsia" w:ascii="宋体" w:hAnsi="宋体" w:eastAsia="宋体" w:cs="宋体"/>
              <w:szCs w:val="16"/>
            </w:rPr>
            <w:instrText xml:space="preserve"> HYPERLINK \l _Toc6671 </w:instrText>
          </w:r>
          <w:r>
            <w:rPr>
              <w:rFonts w:hint="eastAsia" w:ascii="宋体" w:hAnsi="宋体" w:eastAsia="宋体" w:cs="宋体"/>
              <w:szCs w:val="16"/>
            </w:rPr>
            <w:fldChar w:fldCharType="separate"/>
          </w:r>
          <w:r>
            <w:rPr>
              <w:rFonts w:hint="eastAsia"/>
            </w:rPr>
            <w:t>一、产品介绍</w:t>
          </w:r>
          <w:r>
            <w:tab/>
          </w:r>
          <w:r>
            <w:fldChar w:fldCharType="begin"/>
          </w:r>
          <w:r>
            <w:instrText xml:space="preserve"> PAGEREF _Toc6671 \h </w:instrText>
          </w:r>
          <w:r>
            <w:fldChar w:fldCharType="separate"/>
          </w:r>
          <w:r>
            <w:t>2</w:t>
          </w:r>
          <w:r>
            <w:fldChar w:fldCharType="end"/>
          </w:r>
          <w:r>
            <w:rPr>
              <w:rFonts w:hint="eastAsia" w:ascii="宋体" w:hAnsi="宋体" w:eastAsia="宋体" w:cs="宋体"/>
              <w:szCs w:val="16"/>
            </w:rPr>
            <w:fldChar w:fldCharType="end"/>
          </w:r>
        </w:p>
        <w:p w14:paraId="6E8DC79E">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_Toc31464 </w:instrText>
          </w:r>
          <w:r>
            <w:rPr>
              <w:rFonts w:hint="eastAsia" w:ascii="宋体" w:hAnsi="宋体" w:eastAsia="宋体" w:cs="宋体"/>
              <w:szCs w:val="16"/>
            </w:rPr>
            <w:fldChar w:fldCharType="separate"/>
          </w:r>
          <w:r>
            <w:rPr>
              <w:rFonts w:hint="eastAsia"/>
            </w:rPr>
            <w:t>1.</w:t>
          </w:r>
          <w:r>
            <w:rPr>
              <w:rFonts w:hint="eastAsia"/>
              <w:lang w:val="en-US" w:eastAsia="zh-CN"/>
            </w:rPr>
            <w:t xml:space="preserve">1 </w:t>
          </w:r>
          <w:r>
            <w:rPr>
              <w:rFonts w:hint="eastAsia"/>
            </w:rPr>
            <w:t>产品特点、主要用途及适用范围：</w:t>
          </w:r>
          <w:r>
            <w:tab/>
          </w:r>
          <w:r>
            <w:fldChar w:fldCharType="begin"/>
          </w:r>
          <w:r>
            <w:instrText xml:space="preserve"> PAGEREF _Toc31464 \h </w:instrText>
          </w:r>
          <w:r>
            <w:fldChar w:fldCharType="separate"/>
          </w:r>
          <w:r>
            <w:t>2</w:t>
          </w:r>
          <w:r>
            <w:fldChar w:fldCharType="end"/>
          </w:r>
          <w:r>
            <w:rPr>
              <w:rFonts w:hint="eastAsia" w:ascii="宋体" w:hAnsi="宋体" w:eastAsia="宋体" w:cs="宋体"/>
              <w:szCs w:val="16"/>
            </w:rPr>
            <w:fldChar w:fldCharType="end"/>
          </w:r>
        </w:p>
        <w:p w14:paraId="268FF97E">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_Toc24946 </w:instrText>
          </w:r>
          <w:r>
            <w:rPr>
              <w:rFonts w:hint="eastAsia" w:ascii="宋体" w:hAnsi="宋体" w:eastAsia="宋体" w:cs="宋体"/>
              <w:szCs w:val="16"/>
            </w:rPr>
            <w:fldChar w:fldCharType="separate"/>
          </w:r>
          <w:r>
            <w:rPr>
              <w:rFonts w:hint="eastAsia"/>
              <w:lang w:val="en-US" w:eastAsia="zh-CN"/>
            </w:rPr>
            <w:t xml:space="preserve">1.2 </w:t>
          </w:r>
          <w:r>
            <w:rPr>
              <w:rFonts w:hint="eastAsia"/>
            </w:rPr>
            <w:t>型号的组成、含义：</w:t>
          </w:r>
          <w:r>
            <w:tab/>
          </w:r>
          <w:r>
            <w:fldChar w:fldCharType="begin"/>
          </w:r>
          <w:r>
            <w:instrText xml:space="preserve"> PAGEREF _Toc24946 \h </w:instrText>
          </w:r>
          <w:r>
            <w:fldChar w:fldCharType="separate"/>
          </w:r>
          <w:r>
            <w:t>2</w:t>
          </w:r>
          <w:r>
            <w:fldChar w:fldCharType="end"/>
          </w:r>
          <w:r>
            <w:rPr>
              <w:rFonts w:hint="eastAsia" w:ascii="宋体" w:hAnsi="宋体" w:eastAsia="宋体" w:cs="宋体"/>
              <w:szCs w:val="16"/>
            </w:rPr>
            <w:fldChar w:fldCharType="end"/>
          </w:r>
        </w:p>
        <w:p w14:paraId="685F98FF">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_Toc17221 </w:instrText>
          </w:r>
          <w:r>
            <w:rPr>
              <w:rFonts w:hint="eastAsia" w:ascii="宋体" w:hAnsi="宋体" w:eastAsia="宋体" w:cs="宋体"/>
              <w:szCs w:val="16"/>
            </w:rPr>
            <w:fldChar w:fldCharType="separate"/>
          </w:r>
          <w:r>
            <w:rPr>
              <w:rFonts w:hint="eastAsia" w:ascii="宋体" w:hAnsi="宋体" w:eastAsia="宋体" w:cs="宋体"/>
              <w:szCs w:val="16"/>
              <w:lang w:val="en-US" w:eastAsia="zh-CN"/>
            </w:rPr>
            <w:t xml:space="preserve">1.3 </w:t>
          </w:r>
          <w:r>
            <w:rPr>
              <w:rFonts w:hint="eastAsia" w:ascii="宋体" w:hAnsi="宋体" w:eastAsia="宋体" w:cs="宋体"/>
              <w:szCs w:val="16"/>
            </w:rPr>
            <w:t>使用环境要求：</w:t>
          </w:r>
          <w:r>
            <w:tab/>
          </w:r>
          <w:r>
            <w:fldChar w:fldCharType="begin"/>
          </w:r>
          <w:r>
            <w:instrText xml:space="preserve"> PAGEREF _Toc17221 \h </w:instrText>
          </w:r>
          <w:r>
            <w:fldChar w:fldCharType="separate"/>
          </w:r>
          <w:r>
            <w:t>3</w:t>
          </w:r>
          <w:r>
            <w:fldChar w:fldCharType="end"/>
          </w:r>
          <w:r>
            <w:rPr>
              <w:rFonts w:hint="eastAsia" w:ascii="宋体" w:hAnsi="宋体" w:eastAsia="宋体" w:cs="宋体"/>
              <w:szCs w:val="16"/>
            </w:rPr>
            <w:fldChar w:fldCharType="end"/>
          </w:r>
        </w:p>
        <w:p w14:paraId="79F90D67">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_Toc2918 </w:instrText>
          </w:r>
          <w:r>
            <w:rPr>
              <w:rFonts w:hint="eastAsia" w:ascii="宋体" w:hAnsi="宋体" w:eastAsia="宋体" w:cs="宋体"/>
              <w:szCs w:val="16"/>
            </w:rPr>
            <w:fldChar w:fldCharType="separate"/>
          </w:r>
          <w:r>
            <w:rPr>
              <w:rFonts w:hint="eastAsia"/>
            </w:rPr>
            <w:t>二、外形尺寸与结构组成</w:t>
          </w:r>
          <w:r>
            <w:tab/>
          </w:r>
          <w:r>
            <w:fldChar w:fldCharType="begin"/>
          </w:r>
          <w:r>
            <w:instrText xml:space="preserve"> PAGEREF _Toc2918 \h </w:instrText>
          </w:r>
          <w:r>
            <w:fldChar w:fldCharType="separate"/>
          </w:r>
          <w:r>
            <w:t>4</w:t>
          </w:r>
          <w:r>
            <w:fldChar w:fldCharType="end"/>
          </w:r>
          <w:r>
            <w:rPr>
              <w:rFonts w:hint="eastAsia" w:ascii="宋体" w:hAnsi="宋体" w:eastAsia="宋体" w:cs="宋体"/>
              <w:szCs w:val="16"/>
            </w:rPr>
            <w:fldChar w:fldCharType="end"/>
          </w:r>
        </w:p>
        <w:p w14:paraId="0ECBE838">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_Toc8298 </w:instrText>
          </w:r>
          <w:r>
            <w:rPr>
              <w:rFonts w:hint="eastAsia" w:ascii="宋体" w:hAnsi="宋体" w:eastAsia="宋体" w:cs="宋体"/>
              <w:szCs w:val="16"/>
            </w:rPr>
            <w:fldChar w:fldCharType="separate"/>
          </w:r>
          <w:r>
            <w:rPr>
              <w:rFonts w:hint="eastAsia"/>
              <w:lang w:val="en-US" w:eastAsia="zh-CN"/>
            </w:rPr>
            <w:t xml:space="preserve">2.1 </w:t>
          </w:r>
          <w:r>
            <w:rPr>
              <w:rFonts w:hint="eastAsia"/>
            </w:rPr>
            <w:t>产品外形尺寸示意图：</w:t>
          </w:r>
          <w:r>
            <w:tab/>
          </w:r>
          <w:r>
            <w:fldChar w:fldCharType="begin"/>
          </w:r>
          <w:r>
            <w:instrText xml:space="preserve"> PAGEREF _Toc8298 \h </w:instrText>
          </w:r>
          <w:r>
            <w:fldChar w:fldCharType="separate"/>
          </w:r>
          <w:r>
            <w:t>4</w:t>
          </w:r>
          <w:r>
            <w:fldChar w:fldCharType="end"/>
          </w:r>
          <w:r>
            <w:rPr>
              <w:rFonts w:hint="eastAsia" w:ascii="宋体" w:hAnsi="宋体" w:eastAsia="宋体" w:cs="宋体"/>
              <w:szCs w:val="16"/>
            </w:rPr>
            <w:fldChar w:fldCharType="end"/>
          </w:r>
        </w:p>
        <w:p w14:paraId="4EA021C4">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_Toc13973 </w:instrText>
          </w:r>
          <w:r>
            <w:rPr>
              <w:rFonts w:hint="eastAsia" w:ascii="宋体" w:hAnsi="宋体" w:eastAsia="宋体" w:cs="宋体"/>
              <w:szCs w:val="16"/>
            </w:rPr>
            <w:fldChar w:fldCharType="separate"/>
          </w:r>
          <w:r>
            <w:rPr>
              <w:rFonts w:hint="eastAsia"/>
            </w:rPr>
            <w:t>2.</w:t>
          </w:r>
          <w:r>
            <w:rPr>
              <w:rFonts w:hint="eastAsia"/>
              <w:lang w:val="en-US" w:eastAsia="zh-CN"/>
            </w:rPr>
            <w:t xml:space="preserve">2 </w:t>
          </w:r>
          <w:r>
            <w:rPr>
              <w:rFonts w:hint="eastAsia"/>
            </w:rPr>
            <w:t>产品组成结构：</w:t>
          </w:r>
          <w:r>
            <w:tab/>
          </w:r>
          <w:r>
            <w:fldChar w:fldCharType="begin"/>
          </w:r>
          <w:r>
            <w:instrText xml:space="preserve"> PAGEREF _Toc13973 \h </w:instrText>
          </w:r>
          <w:r>
            <w:fldChar w:fldCharType="separate"/>
          </w:r>
          <w:r>
            <w:t>5</w:t>
          </w:r>
          <w:r>
            <w:fldChar w:fldCharType="end"/>
          </w:r>
          <w:r>
            <w:rPr>
              <w:rFonts w:hint="eastAsia" w:ascii="宋体" w:hAnsi="宋体" w:eastAsia="宋体" w:cs="宋体"/>
              <w:szCs w:val="16"/>
            </w:rPr>
            <w:fldChar w:fldCharType="end"/>
          </w:r>
        </w:p>
        <w:p w14:paraId="59B7BEF1">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_Toc23585 </w:instrText>
          </w:r>
          <w:r>
            <w:rPr>
              <w:rFonts w:hint="eastAsia" w:ascii="宋体" w:hAnsi="宋体" w:eastAsia="宋体" w:cs="宋体"/>
              <w:szCs w:val="16"/>
            </w:rPr>
            <w:fldChar w:fldCharType="separate"/>
          </w:r>
          <w:r>
            <w:rPr>
              <w:rFonts w:hint="eastAsia"/>
            </w:rPr>
            <w:t>三、 主要技术指标</w:t>
          </w:r>
          <w:r>
            <w:tab/>
          </w:r>
          <w:r>
            <w:fldChar w:fldCharType="begin"/>
          </w:r>
          <w:r>
            <w:instrText xml:space="preserve"> PAGEREF _Toc23585 \h </w:instrText>
          </w:r>
          <w:r>
            <w:fldChar w:fldCharType="separate"/>
          </w:r>
          <w:r>
            <w:t>5</w:t>
          </w:r>
          <w:r>
            <w:fldChar w:fldCharType="end"/>
          </w:r>
          <w:r>
            <w:rPr>
              <w:rFonts w:hint="eastAsia" w:ascii="宋体" w:hAnsi="宋体" w:eastAsia="宋体" w:cs="宋体"/>
              <w:szCs w:val="16"/>
            </w:rPr>
            <w:fldChar w:fldCharType="end"/>
          </w:r>
        </w:p>
        <w:p w14:paraId="5C3D8BFF">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_Toc15429 </w:instrText>
          </w:r>
          <w:r>
            <w:rPr>
              <w:rFonts w:hint="eastAsia" w:ascii="宋体" w:hAnsi="宋体" w:eastAsia="宋体" w:cs="宋体"/>
              <w:szCs w:val="16"/>
            </w:rPr>
            <w:fldChar w:fldCharType="separate"/>
          </w:r>
          <w:r>
            <w:rPr>
              <w:rFonts w:hint="eastAsia"/>
              <w:lang w:val="en-US" w:eastAsia="zh-CN"/>
            </w:rPr>
            <w:t xml:space="preserve">3.1 </w:t>
          </w:r>
          <w:r>
            <w:rPr>
              <w:rFonts w:hint="eastAsia"/>
            </w:rPr>
            <w:t>技术参数：</w:t>
          </w:r>
          <w:r>
            <w:tab/>
          </w:r>
          <w:r>
            <w:fldChar w:fldCharType="begin"/>
          </w:r>
          <w:r>
            <w:instrText xml:space="preserve"> PAGEREF _Toc15429 \h </w:instrText>
          </w:r>
          <w:r>
            <w:fldChar w:fldCharType="separate"/>
          </w:r>
          <w:r>
            <w:t>5</w:t>
          </w:r>
          <w:r>
            <w:fldChar w:fldCharType="end"/>
          </w:r>
          <w:r>
            <w:rPr>
              <w:rFonts w:hint="eastAsia" w:ascii="宋体" w:hAnsi="宋体" w:eastAsia="宋体" w:cs="宋体"/>
              <w:szCs w:val="16"/>
            </w:rPr>
            <w:fldChar w:fldCharType="end"/>
          </w:r>
        </w:p>
        <w:p w14:paraId="5100B49F">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_Toc20144 </w:instrText>
          </w:r>
          <w:r>
            <w:rPr>
              <w:rFonts w:hint="eastAsia" w:ascii="宋体" w:hAnsi="宋体" w:eastAsia="宋体" w:cs="宋体"/>
              <w:szCs w:val="16"/>
            </w:rPr>
            <w:fldChar w:fldCharType="separate"/>
          </w:r>
          <w:r>
            <w:rPr>
              <w:rFonts w:hint="eastAsia"/>
              <w:lang w:val="en-US" w:eastAsia="zh-CN"/>
            </w:rPr>
            <w:t>3.2 CPA获证情况一览表：</w:t>
          </w:r>
          <w:r>
            <w:tab/>
          </w:r>
          <w:r>
            <w:fldChar w:fldCharType="begin"/>
          </w:r>
          <w:r>
            <w:instrText xml:space="preserve"> PAGEREF _Toc20144 \h </w:instrText>
          </w:r>
          <w:r>
            <w:fldChar w:fldCharType="separate"/>
          </w:r>
          <w:r>
            <w:t>6</w:t>
          </w:r>
          <w:r>
            <w:fldChar w:fldCharType="end"/>
          </w:r>
          <w:r>
            <w:rPr>
              <w:rFonts w:hint="eastAsia" w:ascii="宋体" w:hAnsi="宋体" w:eastAsia="宋体" w:cs="宋体"/>
              <w:szCs w:val="16"/>
            </w:rPr>
            <w:fldChar w:fldCharType="end"/>
          </w:r>
        </w:p>
        <w:p w14:paraId="28F1273F">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_Toc20308 </w:instrText>
          </w:r>
          <w:r>
            <w:rPr>
              <w:rFonts w:hint="eastAsia" w:ascii="宋体" w:hAnsi="宋体" w:eastAsia="宋体" w:cs="宋体"/>
              <w:szCs w:val="16"/>
            </w:rPr>
            <w:fldChar w:fldCharType="separate"/>
          </w:r>
          <w:r>
            <w:rPr>
              <w:rFonts w:hint="eastAsia"/>
            </w:rPr>
            <w:t>四、安装</w:t>
          </w:r>
          <w:r>
            <w:tab/>
          </w:r>
          <w:r>
            <w:fldChar w:fldCharType="begin"/>
          </w:r>
          <w:r>
            <w:instrText xml:space="preserve"> PAGEREF _Toc20308 \h </w:instrText>
          </w:r>
          <w:r>
            <w:fldChar w:fldCharType="separate"/>
          </w:r>
          <w:r>
            <w:t>7</w:t>
          </w:r>
          <w:r>
            <w:fldChar w:fldCharType="end"/>
          </w:r>
          <w:r>
            <w:rPr>
              <w:rFonts w:hint="eastAsia" w:ascii="宋体" w:hAnsi="宋体" w:eastAsia="宋体" w:cs="宋体"/>
              <w:szCs w:val="16"/>
            </w:rPr>
            <w:fldChar w:fldCharType="end"/>
          </w:r>
        </w:p>
        <w:p w14:paraId="71074517">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_Toc29806 </w:instrText>
          </w:r>
          <w:r>
            <w:rPr>
              <w:rFonts w:hint="eastAsia" w:ascii="宋体" w:hAnsi="宋体" w:eastAsia="宋体" w:cs="宋体"/>
              <w:szCs w:val="16"/>
            </w:rPr>
            <w:fldChar w:fldCharType="separate"/>
          </w:r>
          <w:r>
            <w:rPr>
              <w:rFonts w:hint="eastAsia" w:ascii="宋体" w:hAnsi="宋体" w:eastAsia="宋体" w:cs="宋体"/>
              <w:szCs w:val="16"/>
              <w:lang w:val="en-US" w:eastAsia="zh-CN"/>
            </w:rPr>
            <w:t>4.1</w:t>
          </w:r>
          <w:r>
            <w:rPr>
              <w:rFonts w:hint="eastAsia" w:ascii="宋体" w:hAnsi="宋体" w:eastAsia="宋体" w:cs="宋体"/>
              <w:szCs w:val="16"/>
            </w:rPr>
            <w:t>安装方式：</w:t>
          </w:r>
          <w:r>
            <w:tab/>
          </w:r>
          <w:r>
            <w:fldChar w:fldCharType="begin"/>
          </w:r>
          <w:r>
            <w:instrText xml:space="preserve"> PAGEREF _Toc29806 \h </w:instrText>
          </w:r>
          <w:r>
            <w:fldChar w:fldCharType="separate"/>
          </w:r>
          <w:r>
            <w:t>7</w:t>
          </w:r>
          <w:r>
            <w:fldChar w:fldCharType="end"/>
          </w:r>
          <w:r>
            <w:rPr>
              <w:rFonts w:hint="eastAsia" w:ascii="宋体" w:hAnsi="宋体" w:eastAsia="宋体" w:cs="宋体"/>
              <w:szCs w:val="16"/>
            </w:rPr>
            <w:fldChar w:fldCharType="end"/>
          </w:r>
        </w:p>
        <w:p w14:paraId="1E7CBB52">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_Toc25601 </w:instrText>
          </w:r>
          <w:r>
            <w:rPr>
              <w:rFonts w:hint="eastAsia" w:ascii="宋体" w:hAnsi="宋体" w:eastAsia="宋体" w:cs="宋体"/>
              <w:szCs w:val="16"/>
            </w:rPr>
            <w:fldChar w:fldCharType="separate"/>
          </w:r>
          <w:r>
            <w:rPr>
              <w:rFonts w:hint="eastAsia"/>
              <w:lang w:val="en-US" w:eastAsia="zh-CN"/>
            </w:rPr>
            <w:t>4.</w:t>
          </w:r>
          <w:r>
            <w:rPr>
              <w:rFonts w:hint="eastAsia"/>
            </w:rPr>
            <w:t>2</w:t>
          </w:r>
          <w:r>
            <w:rPr>
              <w:rFonts w:hint="eastAsia"/>
              <w:lang w:val="en-US" w:eastAsia="zh-CN"/>
            </w:rPr>
            <w:t xml:space="preserve"> </w:t>
          </w:r>
          <w:r>
            <w:rPr>
              <w:rFonts w:hint="eastAsia"/>
            </w:rPr>
            <w:t>接线说明：</w:t>
          </w:r>
          <w:r>
            <w:tab/>
          </w:r>
          <w:r>
            <w:fldChar w:fldCharType="begin"/>
          </w:r>
          <w:r>
            <w:instrText xml:space="preserve"> PAGEREF _Toc25601 \h </w:instrText>
          </w:r>
          <w:r>
            <w:fldChar w:fldCharType="separate"/>
          </w:r>
          <w:r>
            <w:t>8</w:t>
          </w:r>
          <w:r>
            <w:fldChar w:fldCharType="end"/>
          </w:r>
          <w:r>
            <w:rPr>
              <w:rFonts w:hint="eastAsia" w:ascii="宋体" w:hAnsi="宋体" w:eastAsia="宋体" w:cs="宋体"/>
              <w:szCs w:val="16"/>
            </w:rPr>
            <w:fldChar w:fldCharType="end"/>
          </w:r>
        </w:p>
        <w:p w14:paraId="60DA71B4">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_Toc15567 </w:instrText>
          </w:r>
          <w:r>
            <w:rPr>
              <w:rFonts w:hint="eastAsia" w:ascii="宋体" w:hAnsi="宋体" w:eastAsia="宋体" w:cs="宋体"/>
              <w:szCs w:val="16"/>
            </w:rPr>
            <w:fldChar w:fldCharType="separate"/>
          </w:r>
          <w:r>
            <w:rPr>
              <w:rFonts w:hint="eastAsia"/>
              <w:lang w:val="en-US" w:eastAsia="zh-CN"/>
            </w:rPr>
            <w:t xml:space="preserve">4.3 </w:t>
          </w:r>
          <w:r>
            <w:rPr>
              <w:rFonts w:hint="eastAsia"/>
            </w:rPr>
            <w:t>安装原则：</w:t>
          </w:r>
          <w:r>
            <w:tab/>
          </w:r>
          <w:r>
            <w:fldChar w:fldCharType="begin"/>
          </w:r>
          <w:r>
            <w:instrText xml:space="preserve"> PAGEREF _Toc15567 \h </w:instrText>
          </w:r>
          <w:r>
            <w:fldChar w:fldCharType="separate"/>
          </w:r>
          <w:r>
            <w:t>9</w:t>
          </w:r>
          <w:r>
            <w:fldChar w:fldCharType="end"/>
          </w:r>
          <w:r>
            <w:rPr>
              <w:rFonts w:hint="eastAsia" w:ascii="宋体" w:hAnsi="宋体" w:eastAsia="宋体" w:cs="宋体"/>
              <w:szCs w:val="16"/>
            </w:rPr>
            <w:fldChar w:fldCharType="end"/>
          </w:r>
        </w:p>
        <w:p w14:paraId="3E5C686D">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_Toc12098 </w:instrText>
          </w:r>
          <w:r>
            <w:rPr>
              <w:rFonts w:hint="eastAsia" w:ascii="宋体" w:hAnsi="宋体" w:eastAsia="宋体" w:cs="宋体"/>
              <w:szCs w:val="16"/>
            </w:rPr>
            <w:fldChar w:fldCharType="separate"/>
          </w:r>
          <w:r>
            <w:rPr>
              <w:rFonts w:hint="eastAsia"/>
              <w:lang w:val="en-US" w:eastAsia="zh-CN"/>
            </w:rPr>
            <w:t xml:space="preserve">4.4 </w:t>
          </w:r>
          <w:r>
            <w:rPr>
              <w:rFonts w:hint="eastAsia"/>
            </w:rPr>
            <w:t>操作说明：</w:t>
          </w:r>
          <w:r>
            <w:tab/>
          </w:r>
          <w:r>
            <w:fldChar w:fldCharType="begin"/>
          </w:r>
          <w:r>
            <w:instrText xml:space="preserve"> PAGEREF _Toc12098 \h </w:instrText>
          </w:r>
          <w:r>
            <w:fldChar w:fldCharType="separate"/>
          </w:r>
          <w:r>
            <w:t>10</w:t>
          </w:r>
          <w:r>
            <w:fldChar w:fldCharType="end"/>
          </w:r>
          <w:r>
            <w:rPr>
              <w:rFonts w:hint="eastAsia" w:ascii="宋体" w:hAnsi="宋体" w:eastAsia="宋体" w:cs="宋体"/>
              <w:szCs w:val="16"/>
            </w:rPr>
            <w:fldChar w:fldCharType="end"/>
          </w:r>
        </w:p>
        <w:p w14:paraId="0475DE88">
          <w:pPr>
            <w:pStyle w:val="11"/>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_Toc18177 </w:instrText>
          </w:r>
          <w:r>
            <w:rPr>
              <w:rFonts w:hint="eastAsia" w:ascii="宋体" w:hAnsi="宋体" w:eastAsia="宋体" w:cs="宋体"/>
              <w:szCs w:val="16"/>
            </w:rPr>
            <w:fldChar w:fldCharType="separate"/>
          </w:r>
          <w:r>
            <w:rPr>
              <w:rFonts w:hint="eastAsia"/>
              <w:lang w:val="en-US" w:eastAsia="zh-CN"/>
            </w:rPr>
            <w:t>4.</w:t>
          </w:r>
          <w:r>
            <w:rPr>
              <w:rFonts w:hint="eastAsia"/>
            </w:rPr>
            <w:t>5</w:t>
          </w:r>
          <w:r>
            <w:rPr>
              <w:rFonts w:hint="eastAsia"/>
              <w:lang w:val="en-US" w:eastAsia="zh-CN"/>
            </w:rPr>
            <w:t xml:space="preserve"> </w:t>
          </w:r>
          <w:r>
            <w:rPr>
              <w:rFonts w:hint="eastAsia"/>
            </w:rPr>
            <w:t>储存，搬运注意事项：</w:t>
          </w:r>
          <w:r>
            <w:tab/>
          </w:r>
          <w:r>
            <w:fldChar w:fldCharType="begin"/>
          </w:r>
          <w:r>
            <w:instrText xml:space="preserve"> PAGEREF _Toc18177 \h </w:instrText>
          </w:r>
          <w:r>
            <w:fldChar w:fldCharType="separate"/>
          </w:r>
          <w:r>
            <w:t>14</w:t>
          </w:r>
          <w:r>
            <w:fldChar w:fldCharType="end"/>
          </w:r>
          <w:r>
            <w:rPr>
              <w:rFonts w:hint="eastAsia" w:ascii="宋体" w:hAnsi="宋体" w:eastAsia="宋体" w:cs="宋体"/>
              <w:szCs w:val="16"/>
            </w:rPr>
            <w:fldChar w:fldCharType="end"/>
          </w:r>
        </w:p>
        <w:p w14:paraId="5D685682">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_Toc16750 </w:instrText>
          </w:r>
          <w:r>
            <w:rPr>
              <w:rFonts w:hint="eastAsia" w:ascii="宋体" w:hAnsi="宋体" w:eastAsia="宋体" w:cs="宋体"/>
              <w:szCs w:val="16"/>
            </w:rPr>
            <w:fldChar w:fldCharType="separate"/>
          </w:r>
          <w:r>
            <w:rPr>
              <w:rFonts w:hint="eastAsia"/>
              <w:lang w:val="en-US" w:eastAsia="zh-CN"/>
            </w:rPr>
            <w:t>五</w:t>
          </w:r>
          <w:r>
            <w:rPr>
              <w:rFonts w:hint="eastAsia"/>
            </w:rPr>
            <w:t>、</w:t>
          </w:r>
          <w:r>
            <w:rPr>
              <w:rFonts w:hint="eastAsia"/>
              <w:lang w:val="en-US" w:eastAsia="zh-CN"/>
            </w:rPr>
            <w:t>产品维护及注意事项</w:t>
          </w:r>
          <w:r>
            <w:tab/>
          </w:r>
          <w:r>
            <w:fldChar w:fldCharType="begin"/>
          </w:r>
          <w:r>
            <w:instrText xml:space="preserve"> PAGEREF _Toc16750 \h </w:instrText>
          </w:r>
          <w:r>
            <w:fldChar w:fldCharType="separate"/>
          </w:r>
          <w:r>
            <w:t>15</w:t>
          </w:r>
          <w:r>
            <w:fldChar w:fldCharType="end"/>
          </w:r>
          <w:r>
            <w:rPr>
              <w:rFonts w:hint="eastAsia" w:ascii="宋体" w:hAnsi="宋体" w:eastAsia="宋体" w:cs="宋体"/>
              <w:szCs w:val="16"/>
            </w:rPr>
            <w:fldChar w:fldCharType="end"/>
          </w:r>
        </w:p>
        <w:p w14:paraId="6DC9B955">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_Toc8279 </w:instrText>
          </w:r>
          <w:r>
            <w:rPr>
              <w:rFonts w:hint="eastAsia" w:ascii="宋体" w:hAnsi="宋体" w:eastAsia="宋体" w:cs="宋体"/>
              <w:szCs w:val="16"/>
            </w:rPr>
            <w:fldChar w:fldCharType="separate"/>
          </w:r>
          <w:r>
            <w:rPr>
              <w:rFonts w:hint="eastAsia"/>
            </w:rPr>
            <w:t>六、故障排除</w:t>
          </w:r>
          <w:r>
            <w:tab/>
          </w:r>
          <w:r>
            <w:fldChar w:fldCharType="begin"/>
          </w:r>
          <w:r>
            <w:instrText xml:space="preserve"> PAGEREF _Toc8279 \h </w:instrText>
          </w:r>
          <w:r>
            <w:fldChar w:fldCharType="separate"/>
          </w:r>
          <w:r>
            <w:t>15</w:t>
          </w:r>
          <w:r>
            <w:fldChar w:fldCharType="end"/>
          </w:r>
          <w:r>
            <w:rPr>
              <w:rFonts w:hint="eastAsia" w:ascii="宋体" w:hAnsi="宋体" w:eastAsia="宋体" w:cs="宋体"/>
              <w:szCs w:val="16"/>
            </w:rPr>
            <w:fldChar w:fldCharType="end"/>
          </w:r>
        </w:p>
        <w:p w14:paraId="26482838">
          <w:pPr>
            <w:pStyle w:val="10"/>
            <w:tabs>
              <w:tab w:val="right" w:leader="dot" w:pos="4309"/>
            </w:tabs>
          </w:pPr>
          <w:r>
            <w:rPr>
              <w:rFonts w:hint="eastAsia" w:ascii="宋体" w:hAnsi="宋体" w:eastAsia="宋体" w:cs="宋体"/>
              <w:szCs w:val="16"/>
            </w:rPr>
            <w:fldChar w:fldCharType="begin"/>
          </w:r>
          <w:r>
            <w:rPr>
              <w:rFonts w:hint="eastAsia" w:ascii="宋体" w:hAnsi="宋体" w:eastAsia="宋体" w:cs="宋体"/>
              <w:szCs w:val="16"/>
            </w:rPr>
            <w:instrText xml:space="preserve"> HYPERLINK \l _Toc8064 </w:instrText>
          </w:r>
          <w:r>
            <w:rPr>
              <w:rFonts w:hint="eastAsia" w:ascii="宋体" w:hAnsi="宋体" w:eastAsia="宋体" w:cs="宋体"/>
              <w:szCs w:val="16"/>
            </w:rPr>
            <w:fldChar w:fldCharType="separate"/>
          </w:r>
          <w:r>
            <w:rPr>
              <w:rFonts w:hint="eastAsia"/>
            </w:rPr>
            <w:t>七、售后</w:t>
          </w:r>
          <w:r>
            <w:tab/>
          </w:r>
          <w:r>
            <w:fldChar w:fldCharType="begin"/>
          </w:r>
          <w:r>
            <w:instrText xml:space="preserve"> PAGEREF _Toc8064 \h </w:instrText>
          </w:r>
          <w:r>
            <w:fldChar w:fldCharType="separate"/>
          </w:r>
          <w:r>
            <w:t>16</w:t>
          </w:r>
          <w:r>
            <w:fldChar w:fldCharType="end"/>
          </w:r>
          <w:r>
            <w:rPr>
              <w:rFonts w:hint="eastAsia" w:ascii="宋体" w:hAnsi="宋体" w:eastAsia="宋体" w:cs="宋体"/>
              <w:szCs w:val="16"/>
            </w:rPr>
            <w:fldChar w:fldCharType="end"/>
          </w:r>
        </w:p>
        <w:p w14:paraId="18B97379">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思源黑体" w:hAnsi="思源黑体" w:eastAsia="思源黑体" w:cs="思源黑体"/>
              <w:sz w:val="16"/>
              <w:szCs w:val="16"/>
            </w:rPr>
          </w:pPr>
          <w:r>
            <w:rPr>
              <w:rFonts w:hint="eastAsia" w:ascii="宋体" w:hAnsi="宋体" w:eastAsia="宋体" w:cs="宋体"/>
              <w:szCs w:val="16"/>
            </w:rPr>
            <w:fldChar w:fldCharType="end"/>
          </w:r>
        </w:p>
      </w:sdtContent>
    </w:sdt>
    <w:p w14:paraId="20FE3C9F">
      <w:pPr>
        <w:rPr>
          <w:rFonts w:hint="eastAsia" w:ascii="思源黑体" w:hAnsi="思源黑体" w:eastAsia="思源黑体" w:cs="思源黑体"/>
          <w:sz w:val="16"/>
          <w:szCs w:val="16"/>
        </w:rPr>
      </w:pPr>
    </w:p>
    <w:p w14:paraId="193BAEF3">
      <w:pPr>
        <w:rPr>
          <w:rFonts w:hint="eastAsia" w:ascii="思源黑体" w:hAnsi="思源黑体" w:eastAsia="思源黑体" w:cs="思源黑体"/>
          <w:sz w:val="16"/>
          <w:szCs w:val="16"/>
        </w:rPr>
      </w:pPr>
    </w:p>
    <w:p w14:paraId="0F3CAD64">
      <w:pPr>
        <w:rPr>
          <w:rFonts w:hint="eastAsia" w:ascii="思源黑体" w:hAnsi="思源黑体" w:eastAsia="思源黑体" w:cs="思源黑体"/>
          <w:sz w:val="16"/>
          <w:szCs w:val="16"/>
        </w:rPr>
      </w:pPr>
    </w:p>
    <w:p w14:paraId="3770E8E0">
      <w:pPr>
        <w:ind w:left="0" w:leftChars="0" w:firstLine="0" w:firstLineChars="0"/>
        <w:rPr>
          <w:rFonts w:hint="eastAsia" w:ascii="思源黑体" w:hAnsi="思源黑体" w:eastAsia="思源黑体" w:cs="思源黑体"/>
          <w:sz w:val="16"/>
          <w:szCs w:val="16"/>
        </w:rPr>
        <w:sectPr>
          <w:footerReference r:id="rId7" w:type="first"/>
          <w:footerReference r:id="rId6" w:type="default"/>
          <w:pgSz w:w="5669" w:h="7937"/>
          <w:pgMar w:top="680" w:right="680" w:bottom="680" w:left="680" w:header="397" w:footer="397" w:gutter="0"/>
          <w:pgNumType w:fmt="decimal" w:start="1"/>
          <w:cols w:space="0" w:num="1"/>
          <w:titlePg/>
          <w:rtlGutter w:val="0"/>
          <w:docGrid w:type="lines" w:linePitch="329" w:charSpace="0"/>
        </w:sectPr>
      </w:pPr>
    </w:p>
    <w:p w14:paraId="6848E206">
      <w:pPr>
        <w:pStyle w:val="2"/>
        <w:bidi w:val="0"/>
        <w:rPr>
          <w:rFonts w:hint="eastAsia"/>
        </w:rPr>
      </w:pPr>
      <w:bookmarkStart w:id="0" w:name="_Toc18122"/>
      <w:bookmarkStart w:id="1" w:name="_Toc6671"/>
      <w:r>
        <w:rPr>
          <w:rFonts w:hint="eastAsia"/>
        </w:rPr>
        <w:t>一、产品介绍</w:t>
      </w:r>
      <w:bookmarkEnd w:id="0"/>
      <w:bookmarkEnd w:id="1"/>
    </w:p>
    <w:p w14:paraId="6598083C">
      <w:pPr>
        <w:pStyle w:val="3"/>
        <w:bidi w:val="0"/>
        <w:rPr>
          <w:rFonts w:hint="eastAsia"/>
        </w:rPr>
      </w:pPr>
      <w:bookmarkStart w:id="2" w:name="_Toc28768"/>
      <w:bookmarkStart w:id="3" w:name="_Toc31464"/>
      <w:r>
        <w:rPr>
          <w:rFonts w:hint="eastAsia"/>
        </w:rPr>
        <w:t>1.</w:t>
      </w:r>
      <w:r>
        <w:rPr>
          <w:rFonts w:hint="eastAsia"/>
          <w:lang w:val="en-US" w:eastAsia="zh-CN"/>
        </w:rPr>
        <w:t xml:space="preserve">1 </w:t>
      </w:r>
      <w:r>
        <w:rPr>
          <w:rFonts w:hint="eastAsia"/>
        </w:rPr>
        <w:t>产品特点、主要用途及适用范围：</w:t>
      </w:r>
      <w:bookmarkEnd w:id="2"/>
      <w:bookmarkEnd w:id="3"/>
    </w:p>
    <w:p w14:paraId="71C3F0CD">
      <w:pPr>
        <w:bidi w:val="0"/>
        <w:jc w:val="left"/>
        <w:rPr>
          <w:rFonts w:hint="eastAsia"/>
        </w:rPr>
      </w:pPr>
      <w:r>
        <w:rPr>
          <w:rFonts w:hint="eastAsia"/>
        </w:rPr>
        <w:t>GTYQ-RZLCD15</w:t>
      </w:r>
      <w:r>
        <w:rPr>
          <w:rFonts w:hint="eastAsia"/>
          <w:lang w:val="en-US" w:eastAsia="zh-CN"/>
        </w:rPr>
        <w:t>型</w:t>
      </w:r>
      <w:r>
        <w:rPr>
          <w:rFonts w:hint="eastAsia"/>
        </w:rPr>
        <w:t>工业及商业用途点型可燃气体探测器，以下简称为探测器。</w:t>
      </w:r>
    </w:p>
    <w:p w14:paraId="10A01BF5">
      <w:pPr>
        <w:bidi w:val="0"/>
        <w:jc w:val="left"/>
        <w:rPr>
          <w:rFonts w:hint="eastAsia"/>
          <w:color w:val="auto"/>
        </w:rPr>
      </w:pPr>
      <w:r>
        <w:rPr>
          <w:rFonts w:hint="eastAsia"/>
        </w:rPr>
        <w:t>该系列探测器能够对工业环境下可测量的气体进行连续监测，并将气体浓度转变为4-20mA信号，传输给气</w:t>
      </w:r>
      <w:r>
        <w:rPr>
          <w:rFonts w:hint="eastAsia"/>
          <w:color w:val="auto"/>
        </w:rPr>
        <w:t>体报警控制器或DCS系统，进行显示和处理。</w:t>
      </w:r>
    </w:p>
    <w:p w14:paraId="280FB60A">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rPr>
      </w:pPr>
      <w:r>
        <w:rPr>
          <w:rFonts w:hint="eastAsia"/>
          <w:color w:val="auto"/>
          <w:sz w:val="13"/>
          <w:szCs w:val="13"/>
        </w:rPr>
        <w:t>本产品设计、制造、检定遵守以下国家标准、检定规程：</w:t>
      </w:r>
    </w:p>
    <w:p w14:paraId="5FF503C7">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《GB15322.1-2019 可燃气体探测器 第1部分 工业及商业用途点型可燃气体探测器》</w:t>
      </w:r>
    </w:p>
    <w:p w14:paraId="15D60CA3">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《GB12358-2006作业场所环境气体检测报警仪通用技术要求》</w:t>
      </w:r>
    </w:p>
    <w:p w14:paraId="042C9DDC">
      <w:pPr>
        <w:ind w:firstLine="261" w:firstLineChars="200"/>
        <w:rPr>
          <w:rFonts w:hint="eastAsia" w:ascii="宋体" w:hAnsi="宋体" w:eastAsia="宋体" w:cs="宋体"/>
          <w:b/>
          <w:color w:val="auto"/>
          <w:kern w:val="2"/>
          <w:sz w:val="13"/>
          <w:szCs w:val="13"/>
          <w:lang w:val="en-US" w:eastAsia="zh-CN" w:bidi="ar-SA"/>
        </w:rPr>
      </w:pPr>
      <w:r>
        <w:rPr>
          <w:rFonts w:hint="eastAsia" w:ascii="宋体" w:hAnsi="宋体" w:eastAsia="宋体" w:cs="宋体"/>
          <w:b/>
          <w:color w:val="auto"/>
          <w:kern w:val="2"/>
          <w:sz w:val="13"/>
          <w:szCs w:val="13"/>
          <w:lang w:val="en-US" w:eastAsia="zh-CN" w:bidi="ar-SA"/>
        </w:rPr>
        <w:t>《JJG693-2011可燃气体检测报警器 检定规程》</w:t>
      </w:r>
    </w:p>
    <w:p w14:paraId="2E62BE3B">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《GB/T 3836.1-2021 爆炸性环境 第1部分  设备通用要求》</w:t>
      </w:r>
    </w:p>
    <w:p w14:paraId="16F66564">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《GB/T 3836.2-2021 爆炸性环境 第2部分 由隔爆外壳"d"保护的设备》</w:t>
      </w:r>
    </w:p>
    <w:p w14:paraId="64F13DAD">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《GB/T 3836.31-2021爆炸性环境　第31部分：由防粉尘点燃外壳“t”保护的设备》</w:t>
      </w:r>
    </w:p>
    <w:p w14:paraId="676927E2">
      <w:pPr>
        <w:pStyle w:val="35"/>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color w:val="auto"/>
          <w:sz w:val="13"/>
          <w:szCs w:val="13"/>
          <w:lang w:val="en-US" w:eastAsia="zh-CN"/>
        </w:rPr>
      </w:pPr>
      <w:r>
        <w:rPr>
          <w:rFonts w:hint="eastAsia"/>
          <w:color w:val="auto"/>
          <w:sz w:val="13"/>
          <w:szCs w:val="13"/>
          <w:lang w:val="en-US" w:eastAsia="zh-CN"/>
        </w:rPr>
        <w:t>《GB/T4208-2017 外壳防护等级（IP代码）》</w:t>
      </w:r>
    </w:p>
    <w:p w14:paraId="725497C3">
      <w:pPr>
        <w:pStyle w:val="3"/>
        <w:bidi w:val="0"/>
        <w:rPr>
          <w:rFonts w:hint="eastAsia"/>
        </w:rPr>
      </w:pPr>
      <w:bookmarkStart w:id="4" w:name="_Toc1774"/>
      <w:bookmarkStart w:id="5" w:name="_Toc24946"/>
      <w:r>
        <w:rPr>
          <w:rFonts w:hint="eastAsia"/>
          <w:lang w:val="en-US" w:eastAsia="zh-CN"/>
        </w:rPr>
        <w:t xml:space="preserve">1.2 </w:t>
      </w:r>
      <w:r>
        <w:rPr>
          <w:rFonts w:hint="eastAsia"/>
        </w:rPr>
        <w:t>型号的组成、含义：</w:t>
      </w:r>
      <w:bookmarkEnd w:id="4"/>
      <w:bookmarkEnd w:id="5"/>
    </w:p>
    <w:p w14:paraId="1FCF782B">
      <w:pPr>
        <w:numPr>
          <w:ilvl w:val="0"/>
          <w:numId w:val="0"/>
        </w:numPr>
        <w:rPr>
          <w:rFonts w:hint="eastAsia" w:ascii="思源黑体" w:hAnsi="思源黑体" w:eastAsia="思源黑体" w:cs="思源黑体"/>
          <w:sz w:val="16"/>
          <w:szCs w:val="16"/>
        </w:rPr>
      </w:pPr>
      <w:r>
        <w:rPr>
          <w:rFonts w:hint="eastAsia" w:ascii="思源黑体" w:hAnsi="思源黑体" w:eastAsia="思源黑体" w:cs="思源黑体"/>
          <w:sz w:val="16"/>
          <w:szCs w:val="16"/>
        </w:rPr>
        <w:drawing>
          <wp:anchor distT="0" distB="0" distL="0" distR="0" simplePos="0" relativeHeight="251667456" behindDoc="0" locked="0" layoutInCell="1" allowOverlap="1">
            <wp:simplePos x="0" y="0"/>
            <wp:positionH relativeFrom="column">
              <wp:posOffset>159385</wp:posOffset>
            </wp:positionH>
            <wp:positionV relativeFrom="paragraph">
              <wp:posOffset>19050</wp:posOffset>
            </wp:positionV>
            <wp:extent cx="2095500" cy="1407795"/>
            <wp:effectExtent l="0" t="0" r="0" b="190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2095500" cy="1407795"/>
                    </a:xfrm>
                    <a:prstGeom prst="rect">
                      <a:avLst/>
                    </a:prstGeom>
                  </pic:spPr>
                </pic:pic>
              </a:graphicData>
            </a:graphic>
          </wp:anchor>
        </w:drawing>
      </w:r>
    </w:p>
    <w:p w14:paraId="24EB947E">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7DDA68E4">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0E0311B6">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48A01A2F">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2E2AD318">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13C6271C">
      <w:pPr>
        <w:pageBreakBefore w:val="0"/>
        <w:widowControl w:val="0"/>
        <w:kinsoku/>
        <w:wordWrap/>
        <w:overflowPunct/>
        <w:topLinePunct w:val="0"/>
        <w:autoSpaceDE/>
        <w:autoSpaceDN/>
        <w:bidi w:val="0"/>
        <w:spacing w:line="240" w:lineRule="exact"/>
        <w:jc w:val="center"/>
        <w:textAlignment w:val="auto"/>
        <w:rPr>
          <w:rFonts w:hint="eastAsia" w:ascii="思源黑体" w:hAnsi="思源黑体" w:eastAsia="思源黑体" w:cs="思源黑体"/>
          <w:sz w:val="16"/>
          <w:szCs w:val="16"/>
        </w:rPr>
      </w:pPr>
    </w:p>
    <w:p w14:paraId="402D97A4">
      <w:pPr>
        <w:pStyle w:val="3"/>
        <w:bidi w:val="0"/>
        <w:rPr>
          <w:rFonts w:hint="eastAsia" w:ascii="宋体" w:hAnsi="宋体" w:eastAsia="宋体" w:cs="宋体"/>
          <w:sz w:val="16"/>
          <w:szCs w:val="16"/>
        </w:rPr>
      </w:pPr>
      <w:bookmarkStart w:id="6" w:name="_Toc22145"/>
      <w:bookmarkStart w:id="7" w:name="_Toc17221"/>
      <w:r>
        <w:rPr>
          <w:rFonts w:hint="eastAsia" w:ascii="宋体" w:hAnsi="宋体" w:eastAsia="宋体" w:cs="宋体"/>
          <w:sz w:val="16"/>
          <w:szCs w:val="16"/>
          <w:lang w:val="en-US" w:eastAsia="zh-CN"/>
        </w:rPr>
        <w:t xml:space="preserve">1.3 </w:t>
      </w:r>
      <w:r>
        <w:rPr>
          <w:rFonts w:hint="eastAsia" w:ascii="宋体" w:hAnsi="宋体" w:eastAsia="宋体" w:cs="宋体"/>
          <w:sz w:val="16"/>
          <w:szCs w:val="16"/>
        </w:rPr>
        <w:t>使用环境要求：</w:t>
      </w:r>
      <w:bookmarkEnd w:id="6"/>
      <w:bookmarkEnd w:id="7"/>
    </w:p>
    <w:p w14:paraId="6CAEE32F">
      <w:pPr>
        <w:bidi w:val="0"/>
        <w:rPr>
          <w:rFonts w:hint="eastAsia"/>
          <w:lang w:val="en-US" w:eastAsia="zh-CN"/>
        </w:rPr>
      </w:pPr>
      <w:r>
        <w:rPr>
          <w:rFonts w:hint="eastAsia"/>
          <w:lang w:val="en-US" w:eastAsia="zh-CN"/>
        </w:rPr>
        <w:t>1、使用设备的地理位置海拔高度一般不得高于2000米，可燃气体探测器气温在-40℃至70℃。</w:t>
      </w:r>
    </w:p>
    <w:p w14:paraId="1D4489A8">
      <w:pPr>
        <w:bidi w:val="0"/>
        <w:rPr>
          <w:rFonts w:hint="eastAsia"/>
          <w:color w:val="auto"/>
        </w:rPr>
      </w:pPr>
      <w:r>
        <w:rPr>
          <w:rFonts w:hint="eastAsia"/>
          <w:color w:val="auto"/>
          <w:lang w:val="en-US" w:eastAsia="zh-CN"/>
        </w:rPr>
        <w:t>2、</w:t>
      </w:r>
      <w:r>
        <w:rPr>
          <w:rFonts w:hint="eastAsia"/>
          <w:color w:val="auto"/>
        </w:rPr>
        <w:t>应用于下列防爆标志为Ex db ⅡC T6 Gb/Ex tb ⅢC T80℃ Db且存在可燃气体易泄漏的环境：石油石化、化工厂、冶炼厂、钢铁厂、煤炭厂、热电厂、医药科研、制药生产车间、烟草公司、环境监测、学校科研、楼宇建设、消防报警、污水处理、工业气体过程控制、锅炉房、餐饮饭店、食品厂、印刷厂、垃圾处理厂、隧道施工、输油管道、加气站、地下燃气管道检修、室内空气质量检测、危险场所安全防护、危险化学品仓库、航空航天等。</w:t>
      </w:r>
    </w:p>
    <w:p w14:paraId="591DCD66">
      <w:pPr>
        <w:bidi w:val="0"/>
        <w:rPr>
          <w:rFonts w:hint="eastAsia"/>
        </w:rPr>
      </w:pPr>
      <w:r>
        <w:rPr>
          <w:rFonts w:hint="eastAsia"/>
        </w:rPr>
        <w:t>3、安装设备的场所必须通风、散热条件良好且室内温度不宜过高，远离火源及易燃易爆品、火灾烟雾较难侵入，不可太潮湿、确保梅雨季节中设备表面不结露，室内灰尘不能太多（灰尘一般带正离子，容易引起控制电路故障）同时还应注意防鼠。</w:t>
      </w:r>
    </w:p>
    <w:p w14:paraId="39A3C4F4">
      <w:pPr>
        <w:bidi w:val="0"/>
        <w:rPr>
          <w:rFonts w:hint="eastAsia"/>
        </w:rPr>
      </w:pPr>
      <w:r>
        <w:rPr>
          <w:rFonts w:hint="eastAsia"/>
        </w:rPr>
        <w:t>4、可燃气体报警器安装的环境是对气体报警器寿命影响的重要因素，为了能够使可燃气体报警器发挥出更好的作用，安装时一定不要安装在以下位置：</w:t>
      </w:r>
    </w:p>
    <w:p w14:paraId="0B9B87D8">
      <w:pPr>
        <w:bidi w:val="0"/>
        <w:rPr>
          <w:rFonts w:hint="eastAsia"/>
        </w:rPr>
      </w:pPr>
      <w:r>
        <w:rPr>
          <w:rFonts w:hint="eastAsia"/>
        </w:rPr>
        <w:t>1</w:t>
      </w:r>
      <w:r>
        <w:rPr>
          <w:rFonts w:hint="eastAsia"/>
          <w:lang w:eastAsia="zh-CN"/>
        </w:rPr>
        <w:t>）</w:t>
      </w:r>
      <w:r>
        <w:rPr>
          <w:rFonts w:hint="eastAsia"/>
        </w:rPr>
        <w:t>直接受蒸汽、油烟影响的地方；</w:t>
      </w:r>
    </w:p>
    <w:p w14:paraId="7C717B70">
      <w:pPr>
        <w:bidi w:val="0"/>
        <w:rPr>
          <w:rFonts w:hint="eastAsia"/>
        </w:rPr>
      </w:pPr>
      <w:r>
        <w:rPr>
          <w:rFonts w:hint="eastAsia"/>
        </w:rPr>
        <w:t>2</w:t>
      </w:r>
      <w:r>
        <w:rPr>
          <w:rFonts w:hint="eastAsia"/>
          <w:lang w:eastAsia="zh-CN"/>
        </w:rPr>
        <w:t>）</w:t>
      </w:r>
      <w:r>
        <w:rPr>
          <w:rFonts w:hint="eastAsia"/>
        </w:rPr>
        <w:t>给气口、换气扇、房门等风量流动大的地方；</w:t>
      </w:r>
    </w:p>
    <w:p w14:paraId="13AB7D52">
      <w:pPr>
        <w:bidi w:val="0"/>
        <w:rPr>
          <w:rFonts w:hint="eastAsia"/>
        </w:rPr>
      </w:pPr>
      <w:r>
        <w:rPr>
          <w:rFonts w:hint="eastAsia"/>
        </w:rPr>
        <w:t>3</w:t>
      </w:r>
      <w:r>
        <w:rPr>
          <w:rFonts w:hint="eastAsia"/>
          <w:lang w:eastAsia="zh-CN"/>
        </w:rPr>
        <w:t>）</w:t>
      </w:r>
      <w:r>
        <w:rPr>
          <w:rFonts w:hint="eastAsia"/>
        </w:rPr>
        <w:t>水汽、水滴多的地方（相对湿度＞96%RH）；</w:t>
      </w:r>
    </w:p>
    <w:p w14:paraId="5DE3B92E">
      <w:pPr>
        <w:bidi w:val="0"/>
        <w:rPr>
          <w:rFonts w:hint="eastAsia"/>
        </w:rPr>
      </w:pPr>
      <w:r>
        <w:rPr>
          <w:rFonts w:hint="eastAsia"/>
        </w:rPr>
        <w:t>4</w:t>
      </w:r>
      <w:r>
        <w:rPr>
          <w:rFonts w:hint="eastAsia"/>
          <w:lang w:eastAsia="zh-CN"/>
        </w:rPr>
        <w:t>）</w:t>
      </w:r>
      <w:r>
        <w:rPr>
          <w:rFonts w:hint="eastAsia"/>
        </w:rPr>
        <w:t>有强电磁场的地方。</w:t>
      </w:r>
    </w:p>
    <w:p w14:paraId="4B0803DD">
      <w:pPr>
        <w:bidi w:val="0"/>
        <w:rPr>
          <w:rFonts w:hint="eastAsia"/>
        </w:rPr>
      </w:pPr>
    </w:p>
    <w:p w14:paraId="2BCFACCA">
      <w:pPr>
        <w:bidi w:val="0"/>
        <w:rPr>
          <w:rFonts w:hint="eastAsia" w:ascii="思源黑体" w:hAnsi="思源黑体" w:eastAsia="思源黑体" w:cs="思源黑体"/>
          <w:sz w:val="16"/>
          <w:szCs w:val="16"/>
        </w:rPr>
      </w:pPr>
    </w:p>
    <w:p w14:paraId="5CCA6100">
      <w:pPr>
        <w:bidi w:val="0"/>
        <w:rPr>
          <w:rFonts w:hint="eastAsia" w:ascii="思源黑体" w:hAnsi="思源黑体" w:eastAsia="思源黑体" w:cs="思源黑体"/>
          <w:sz w:val="16"/>
          <w:szCs w:val="16"/>
        </w:rPr>
      </w:pPr>
    </w:p>
    <w:p w14:paraId="105359EF">
      <w:pPr>
        <w:bidi w:val="0"/>
        <w:rPr>
          <w:rFonts w:hint="eastAsia" w:ascii="思源黑体" w:hAnsi="思源黑体" w:eastAsia="思源黑体" w:cs="思源黑体"/>
          <w:sz w:val="16"/>
          <w:szCs w:val="16"/>
        </w:rPr>
      </w:pPr>
    </w:p>
    <w:p w14:paraId="4229BFB3">
      <w:pPr>
        <w:pStyle w:val="2"/>
        <w:bidi w:val="0"/>
        <w:rPr>
          <w:rFonts w:hint="eastAsia"/>
        </w:rPr>
      </w:pPr>
      <w:bookmarkStart w:id="8" w:name="_Toc1670"/>
      <w:bookmarkStart w:id="9" w:name="_Toc2918"/>
      <w:r>
        <w:rPr>
          <w:rFonts w:hint="eastAsia"/>
        </w:rPr>
        <w:t>二、外形尺寸与结构组成</w:t>
      </w:r>
      <w:bookmarkEnd w:id="8"/>
      <w:bookmarkEnd w:id="9"/>
    </w:p>
    <w:p w14:paraId="5E2D9546">
      <w:pPr>
        <w:pStyle w:val="3"/>
        <w:bidi w:val="0"/>
        <w:rPr>
          <w:rFonts w:hint="eastAsia"/>
        </w:rPr>
      </w:pPr>
      <w:bookmarkStart w:id="10" w:name="_Toc20716"/>
      <w:bookmarkStart w:id="11" w:name="_Toc8298"/>
      <w:r>
        <w:rPr>
          <w:rFonts w:hint="eastAsia"/>
          <w:lang w:val="en-US" w:eastAsia="zh-CN"/>
        </w:rPr>
        <w:t xml:space="preserve">2.1 </w:t>
      </w:r>
      <w:r>
        <w:rPr>
          <w:rFonts w:hint="eastAsia"/>
        </w:rPr>
        <w:t>产品外形尺寸示意图：</w:t>
      </w:r>
      <w:bookmarkEnd w:id="10"/>
      <w:bookmarkEnd w:id="11"/>
    </w:p>
    <w:p w14:paraId="21A10B8F">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p>
    <w:p w14:paraId="6D5181B3">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p>
    <w:p w14:paraId="1988761B">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p>
    <w:p w14:paraId="56B032BF">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r>
        <w:rPr>
          <w:sz w:val="16"/>
        </w:rPr>
        <mc:AlternateContent>
          <mc:Choice Requires="wps">
            <w:drawing>
              <wp:anchor distT="0" distB="0" distL="114300" distR="114300" simplePos="0" relativeHeight="251670528" behindDoc="0" locked="0" layoutInCell="1" allowOverlap="1">
                <wp:simplePos x="0" y="0"/>
                <wp:positionH relativeFrom="column">
                  <wp:posOffset>31750</wp:posOffset>
                </wp:positionH>
                <wp:positionV relativeFrom="paragraph">
                  <wp:posOffset>179070</wp:posOffset>
                </wp:positionV>
                <wp:extent cx="914400" cy="295275"/>
                <wp:effectExtent l="0" t="0" r="0" b="0"/>
                <wp:wrapNone/>
                <wp:docPr id="18" name="文本框 18"/>
                <wp:cNvGraphicFramePr/>
                <a:graphic xmlns:a="http://schemas.openxmlformats.org/drawingml/2006/main">
                  <a:graphicData uri="http://schemas.microsoft.com/office/word/2010/wordprocessingShape">
                    <wps:wsp>
                      <wps:cNvSpPr txBox="1"/>
                      <wps:spPr>
                        <a:xfrm>
                          <a:off x="2178685" y="807720"/>
                          <a:ext cx="91440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B72647">
                            <w:pPr>
                              <w:rPr>
                                <w:rFonts w:hint="eastAsia" w:ascii="宋体" w:hAnsi="宋体" w:eastAsia="宋体" w:cs="宋体"/>
                                <w:sz w:val="15"/>
                                <w:szCs w:val="22"/>
                                <w:lang w:val="en-US" w:eastAsia="zh-CN"/>
                              </w:rPr>
                            </w:pPr>
                            <w:r>
                              <w:rPr>
                                <w:rFonts w:hint="eastAsia" w:ascii="宋体" w:hAnsi="宋体" w:eastAsia="宋体" w:cs="宋体"/>
                                <w:sz w:val="15"/>
                                <w:szCs w:val="22"/>
                                <w:lang w:val="en-US" w:eastAsia="zh-CN"/>
                              </w:rPr>
                              <w:t>75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pt;margin-top:14.1pt;height:23.25pt;width:72pt;z-index:251670528;mso-width-relative:page;mso-height-relative:page;" filled="f" stroked="f" coordsize="21600,21600" o:gfxdata="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i7pKbtkAAAAHAQAADwAAAAAAAAABACAA&#10;AAAiAAAAZHJzL2Rvd25yZXYueG1sUEsBAhQAFAAAAAgAh07iQCXMEeJFAgAAcgQAAA4AAAAAAAAA&#10;AQAgAAAAKAEAAGRycy9lMm9Eb2MueG1sUEsFBgAAAAAGAAYAWQEAAN8FAAAAAA==&#10;">
                <v:fill on="f" focussize="0,0"/>
                <v:stroke on="f" weight="0.5pt"/>
                <v:imagedata o:title=""/>
                <o:lock v:ext="edit" aspectratio="f"/>
                <v:textbox>
                  <w:txbxContent>
                    <w:p w14:paraId="09B72647">
                      <w:pPr>
                        <w:rPr>
                          <w:rFonts w:hint="eastAsia" w:ascii="宋体" w:hAnsi="宋体" w:eastAsia="宋体" w:cs="宋体"/>
                          <w:sz w:val="15"/>
                          <w:szCs w:val="22"/>
                          <w:lang w:val="en-US" w:eastAsia="zh-CN"/>
                        </w:rPr>
                      </w:pPr>
                      <w:r>
                        <w:rPr>
                          <w:rFonts w:hint="eastAsia" w:ascii="宋体" w:hAnsi="宋体" w:eastAsia="宋体" w:cs="宋体"/>
                          <w:sz w:val="15"/>
                          <w:szCs w:val="22"/>
                          <w:lang w:val="en-US" w:eastAsia="zh-CN"/>
                        </w:rPr>
                        <w:t>75</w:t>
                      </w:r>
                    </w:p>
                  </w:txbxContent>
                </v:textbox>
              </v:shape>
            </w:pict>
          </mc:Fallback>
        </mc:AlternateContent>
      </w:r>
      <w:r>
        <w:rPr>
          <w:sz w:val="16"/>
        </w:rPr>
        <mc:AlternateContent>
          <mc:Choice Requires="wps">
            <w:drawing>
              <wp:anchor distT="0" distB="0" distL="114300" distR="114300" simplePos="0" relativeHeight="251669504" behindDoc="0" locked="0" layoutInCell="1" allowOverlap="1">
                <wp:simplePos x="0" y="0"/>
                <wp:positionH relativeFrom="column">
                  <wp:posOffset>259080</wp:posOffset>
                </wp:positionH>
                <wp:positionV relativeFrom="paragraph">
                  <wp:posOffset>247015</wp:posOffset>
                </wp:positionV>
                <wp:extent cx="201295" cy="106045"/>
                <wp:effectExtent l="0" t="0" r="8255" b="8255"/>
                <wp:wrapNone/>
                <wp:docPr id="13" name="矩形 13"/>
                <wp:cNvGraphicFramePr/>
                <a:graphic xmlns:a="http://schemas.openxmlformats.org/drawingml/2006/main">
                  <a:graphicData uri="http://schemas.microsoft.com/office/word/2010/wordprocessingShape">
                    <wps:wsp>
                      <wps:cNvSpPr/>
                      <wps:spPr>
                        <a:xfrm>
                          <a:off x="829310" y="1198880"/>
                          <a:ext cx="201295" cy="10604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4pt;margin-top:19.45pt;height:8.35pt;width:15.85pt;z-index:251669504;v-text-anchor:middle;mso-width-relative:page;mso-height-relative:page;" fillcolor="#CCE8CF [3212]" filled="t" stroked="f" coordsize="21600,21600" o:gfxdata="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&#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PafdbYAAAABwEAAA8AAAAAAAAAAQAgAAAAIgAAAGRy&#10;cy9kb3ducmV2LnhtbFBLAQIUABQAAAAIAIdO4kCV+UwMdwIAANcEAAAOAAAAAAAAAAEAIAAAACcB&#10;AABkcnMvZTJvRG9jLnhtbFBLBQYAAAAABgAGAFkBAAAQBgAAAAA=&#10;">
                <v:fill on="t" focussize="0,0"/>
                <v:stroke on="f" weight="1pt" miterlimit="8" joinstyle="miter"/>
                <v:imagedata o:title=""/>
                <o:lock v:ext="edit" aspectratio="f"/>
              </v:rect>
            </w:pict>
          </mc:Fallback>
        </mc:AlternateContent>
      </w:r>
    </w:p>
    <w:p w14:paraId="2E91657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84228EE">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7EE3312">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r>
        <w:rPr>
          <w:rFonts w:hint="eastAsia" w:ascii="思源黑体" w:hAnsi="思源黑体" w:eastAsia="思源黑体" w:cs="思源黑体"/>
          <w:sz w:val="16"/>
          <w:szCs w:val="16"/>
        </w:rPr>
        <w:pict>
          <v:shape id="_x0000_s1033" o:spid="_x0000_s1033" o:spt="75" type="#_x0000_t75" style="position:absolute;left:0pt;margin-left:-26.45pt;margin-top:-14.05pt;height:186.8pt;width:265.55pt;mso-wrap-distance-bottom:0pt;mso-wrap-distance-left:9pt;mso-wrap-distance-right:9pt;mso-wrap-distance-top:0pt;z-index:251668480;mso-width-relative:page;mso-height-relative:page;" o:ole="t" filled="f" o:preferrelative="t" stroked="f" coordsize="21600,21600">
            <v:path/>
            <v:fill on="f" focussize="0,0"/>
            <v:stroke on="f"/>
            <v:imagedata r:id="rId21" o:title=""/>
            <o:lock v:ext="edit" aspectratio="t"/>
            <w10:wrap type="square"/>
          </v:shape>
          <o:OLEObject Type="Embed" ProgID="AutoCAD.Drawing.20" ShapeID="_x0000_s1033" DrawAspect="Content" ObjectID="_1468075725" r:id="rId20">
            <o:LockedField>false</o:LockedField>
          </o:OLEObject>
        </w:pict>
      </w:r>
      <w:bookmarkStart w:id="12" w:name="_Toc32327"/>
    </w:p>
    <w:p w14:paraId="60BAC380">
      <w:pPr>
        <w:pStyle w:val="3"/>
        <w:bidi w:val="0"/>
        <w:rPr>
          <w:rFonts w:hint="eastAsia"/>
        </w:rPr>
      </w:pPr>
      <w:bookmarkStart w:id="13" w:name="_Toc13973"/>
      <w:r>
        <w:rPr>
          <w:rFonts w:hint="eastAsia"/>
        </w:rPr>
        <w:t>2.</w:t>
      </w:r>
      <w:r>
        <w:rPr>
          <w:rFonts w:hint="eastAsia"/>
          <w:lang w:val="en-US" w:eastAsia="zh-CN"/>
        </w:rPr>
        <w:t xml:space="preserve">2 </w:t>
      </w:r>
      <w:r>
        <w:rPr>
          <w:rFonts w:hint="eastAsia"/>
        </w:rPr>
        <w:t>产品组成结构：</w:t>
      </w:r>
      <w:bookmarkEnd w:id="12"/>
      <w:bookmarkEnd w:id="13"/>
    </w:p>
    <w:p w14:paraId="54BFA5EC">
      <w:pPr>
        <w:pageBreakBefore w:val="0"/>
        <w:widowControl w:val="0"/>
        <w:kinsoku/>
        <w:wordWrap/>
        <w:overflowPunct/>
        <w:topLinePunct w:val="0"/>
        <w:autoSpaceDE/>
        <w:autoSpaceDN/>
        <w:bidi w:val="0"/>
        <w:spacing w:line="240" w:lineRule="exact"/>
        <w:textAlignment w:val="auto"/>
      </w:pPr>
    </w:p>
    <w:p w14:paraId="376791FC">
      <w:pPr>
        <w:pageBreakBefore w:val="0"/>
        <w:widowControl w:val="0"/>
        <w:kinsoku/>
        <w:wordWrap/>
        <w:overflowPunct/>
        <w:topLinePunct w:val="0"/>
        <w:autoSpaceDE/>
        <w:autoSpaceDN/>
        <w:bidi w:val="0"/>
        <w:spacing w:line="240" w:lineRule="exact"/>
        <w:textAlignment w:val="auto"/>
      </w:pPr>
    </w:p>
    <w:p w14:paraId="606CC299">
      <w:pPr>
        <w:pageBreakBefore w:val="0"/>
        <w:widowControl w:val="0"/>
        <w:kinsoku/>
        <w:wordWrap/>
        <w:overflowPunct/>
        <w:topLinePunct w:val="0"/>
        <w:autoSpaceDE/>
        <w:autoSpaceDN/>
        <w:bidi w:val="0"/>
        <w:spacing w:line="240" w:lineRule="exact"/>
        <w:textAlignment w:val="auto"/>
      </w:pPr>
    </w:p>
    <w:p w14:paraId="51596D42">
      <w:pPr>
        <w:pageBreakBefore w:val="0"/>
        <w:widowControl w:val="0"/>
        <w:kinsoku/>
        <w:wordWrap/>
        <w:overflowPunct/>
        <w:topLinePunct w:val="0"/>
        <w:autoSpaceDE/>
        <w:autoSpaceDN/>
        <w:bidi w:val="0"/>
        <w:spacing w:line="240" w:lineRule="exact"/>
        <w:textAlignment w:val="auto"/>
      </w:pPr>
    </w:p>
    <w:p w14:paraId="2D569BD8">
      <w:pPr>
        <w:pageBreakBefore w:val="0"/>
        <w:widowControl w:val="0"/>
        <w:kinsoku/>
        <w:wordWrap/>
        <w:overflowPunct/>
        <w:topLinePunct w:val="0"/>
        <w:autoSpaceDE/>
        <w:autoSpaceDN/>
        <w:bidi w:val="0"/>
        <w:spacing w:line="240" w:lineRule="exact"/>
        <w:textAlignment w:val="auto"/>
      </w:pPr>
    </w:p>
    <w:p w14:paraId="286B5ED0">
      <w:pPr>
        <w:pageBreakBefore w:val="0"/>
        <w:widowControl w:val="0"/>
        <w:kinsoku/>
        <w:wordWrap/>
        <w:overflowPunct/>
        <w:topLinePunct w:val="0"/>
        <w:autoSpaceDE/>
        <w:autoSpaceDN/>
        <w:bidi w:val="0"/>
        <w:spacing w:line="240" w:lineRule="exact"/>
        <w:textAlignment w:val="auto"/>
      </w:pPr>
    </w:p>
    <w:p w14:paraId="19E20AC4">
      <w:pPr>
        <w:pageBreakBefore w:val="0"/>
        <w:widowControl w:val="0"/>
        <w:kinsoku/>
        <w:wordWrap/>
        <w:overflowPunct/>
        <w:topLinePunct w:val="0"/>
        <w:autoSpaceDE/>
        <w:autoSpaceDN/>
        <w:bidi w:val="0"/>
        <w:spacing w:line="240" w:lineRule="exact"/>
        <w:textAlignment w:val="auto"/>
      </w:pPr>
    </w:p>
    <w:p w14:paraId="2B8CC631">
      <w:pPr>
        <w:pageBreakBefore w:val="0"/>
        <w:widowControl w:val="0"/>
        <w:kinsoku/>
        <w:wordWrap/>
        <w:overflowPunct/>
        <w:topLinePunct w:val="0"/>
        <w:autoSpaceDE/>
        <w:autoSpaceDN/>
        <w:bidi w:val="0"/>
        <w:spacing w:line="240" w:lineRule="exact"/>
        <w:textAlignment w:val="auto"/>
      </w:pPr>
    </w:p>
    <w:p w14:paraId="6E97A032">
      <w:pPr>
        <w:pageBreakBefore w:val="0"/>
        <w:widowControl w:val="0"/>
        <w:kinsoku/>
        <w:wordWrap/>
        <w:overflowPunct/>
        <w:topLinePunct w:val="0"/>
        <w:autoSpaceDE/>
        <w:autoSpaceDN/>
        <w:bidi w:val="0"/>
        <w:spacing w:line="240" w:lineRule="exact"/>
        <w:textAlignment w:val="auto"/>
      </w:pPr>
    </w:p>
    <w:p w14:paraId="6D83D8A9">
      <w:pPr>
        <w:pageBreakBefore w:val="0"/>
        <w:widowControl w:val="0"/>
        <w:kinsoku/>
        <w:wordWrap/>
        <w:overflowPunct/>
        <w:topLinePunct w:val="0"/>
        <w:autoSpaceDE/>
        <w:autoSpaceDN/>
        <w:bidi w:val="0"/>
        <w:spacing w:line="240" w:lineRule="exact"/>
        <w:textAlignment w:val="auto"/>
      </w:pPr>
    </w:p>
    <w:p w14:paraId="6010742F">
      <w:pPr>
        <w:pageBreakBefore w:val="0"/>
        <w:widowControl w:val="0"/>
        <w:kinsoku/>
        <w:wordWrap/>
        <w:overflowPunct/>
        <w:topLinePunct w:val="0"/>
        <w:autoSpaceDE/>
        <w:autoSpaceDN/>
        <w:bidi w:val="0"/>
        <w:spacing w:line="240" w:lineRule="exact"/>
        <w:textAlignment w:val="auto"/>
      </w:pPr>
    </w:p>
    <w:p w14:paraId="62143CA3">
      <w:pPr>
        <w:pageBreakBefore w:val="0"/>
        <w:widowControl w:val="0"/>
        <w:kinsoku/>
        <w:wordWrap/>
        <w:overflowPunct/>
        <w:topLinePunct w:val="0"/>
        <w:autoSpaceDE/>
        <w:autoSpaceDN/>
        <w:bidi w:val="0"/>
        <w:spacing w:line="240" w:lineRule="exact"/>
        <w:textAlignment w:val="auto"/>
      </w:pPr>
    </w:p>
    <w:p w14:paraId="4A27134E">
      <w:pPr>
        <w:pageBreakBefore w:val="0"/>
        <w:widowControl w:val="0"/>
        <w:kinsoku/>
        <w:wordWrap/>
        <w:overflowPunct/>
        <w:topLinePunct w:val="0"/>
        <w:autoSpaceDE/>
        <w:autoSpaceDN/>
        <w:bidi w:val="0"/>
        <w:spacing w:line="240" w:lineRule="exact"/>
        <w:textAlignment w:val="auto"/>
      </w:pPr>
    </w:p>
    <w:p w14:paraId="4EDD2705">
      <w:pPr>
        <w:pageBreakBefore w:val="0"/>
        <w:widowControl w:val="0"/>
        <w:kinsoku/>
        <w:wordWrap/>
        <w:overflowPunct/>
        <w:topLinePunct w:val="0"/>
        <w:autoSpaceDE/>
        <w:autoSpaceDN/>
        <w:bidi w:val="0"/>
        <w:spacing w:line="240" w:lineRule="exact"/>
        <w:textAlignment w:val="auto"/>
      </w:pPr>
    </w:p>
    <w:p w14:paraId="58DACBC5">
      <w:pPr>
        <w:pageBreakBefore w:val="0"/>
        <w:widowControl w:val="0"/>
        <w:kinsoku/>
        <w:wordWrap/>
        <w:overflowPunct/>
        <w:topLinePunct w:val="0"/>
        <w:autoSpaceDE/>
        <w:autoSpaceDN/>
        <w:bidi w:val="0"/>
        <w:spacing w:line="240" w:lineRule="exact"/>
        <w:textAlignment w:val="auto"/>
      </w:pPr>
    </w:p>
    <w:p w14:paraId="10BCC8F8">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r>
        <w:drawing>
          <wp:anchor distT="0" distB="0" distL="114300" distR="114300" simplePos="0" relativeHeight="251673600" behindDoc="0" locked="0" layoutInCell="1" allowOverlap="1">
            <wp:simplePos x="0" y="0"/>
            <wp:positionH relativeFrom="column">
              <wp:posOffset>0</wp:posOffset>
            </wp:positionH>
            <wp:positionV relativeFrom="paragraph">
              <wp:posOffset>-2183130</wp:posOffset>
            </wp:positionV>
            <wp:extent cx="2518410" cy="2291080"/>
            <wp:effectExtent l="0" t="0" r="15240" b="1397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2518410" cy="2291080"/>
                    </a:xfrm>
                    <a:prstGeom prst="rect">
                      <a:avLst/>
                    </a:prstGeom>
                    <a:noFill/>
                    <a:ln>
                      <a:noFill/>
                    </a:ln>
                  </pic:spPr>
                </pic:pic>
              </a:graphicData>
            </a:graphic>
          </wp:anchor>
        </w:drawing>
      </w:r>
    </w:p>
    <w:p w14:paraId="04FF786C">
      <w:pPr>
        <w:pStyle w:val="2"/>
        <w:numPr>
          <w:ilvl w:val="0"/>
          <w:numId w:val="2"/>
        </w:numPr>
        <w:bidi w:val="0"/>
        <w:rPr>
          <w:rFonts w:hint="eastAsia"/>
        </w:rPr>
      </w:pPr>
      <w:bookmarkStart w:id="14" w:name="_Toc15552"/>
      <w:bookmarkStart w:id="15" w:name="_Toc23585"/>
      <w:r>
        <w:rPr>
          <w:rFonts w:hint="eastAsia"/>
        </w:rPr>
        <w:t>主要技术指标</w:t>
      </w:r>
      <w:bookmarkEnd w:id="14"/>
      <w:bookmarkEnd w:id="15"/>
    </w:p>
    <w:p w14:paraId="1474C2EF">
      <w:pPr>
        <w:pStyle w:val="3"/>
        <w:bidi w:val="0"/>
        <w:rPr>
          <w:rFonts w:hint="eastAsia"/>
        </w:rPr>
      </w:pPr>
      <w:bookmarkStart w:id="16" w:name="_Toc15429"/>
      <w:r>
        <w:rPr>
          <w:rFonts w:hint="eastAsia"/>
          <w:lang w:val="en-US" w:eastAsia="zh-CN"/>
        </w:rPr>
        <w:t xml:space="preserve">3.1 </w:t>
      </w:r>
      <w:r>
        <w:rPr>
          <w:rFonts w:hint="eastAsia"/>
        </w:rPr>
        <w:t>技术参数：</w:t>
      </w:r>
      <w:bookmarkEnd w:id="16"/>
    </w:p>
    <w:tbl>
      <w:tblPr>
        <w:tblStyle w:val="13"/>
        <w:tblpPr w:leftFromText="180" w:rightFromText="180" w:vertAnchor="text" w:horzAnchor="page" w:tblpXSpec="center" w:tblpY="235"/>
        <w:tblOverlap w:val="never"/>
        <w:tblW w:w="51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43"/>
        <w:gridCol w:w="1097"/>
        <w:gridCol w:w="813"/>
        <w:gridCol w:w="1561"/>
      </w:tblGrid>
      <w:tr w14:paraId="6C9D7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769221D7">
            <w:pPr>
              <w:pStyle w:val="7"/>
              <w:bidi w:val="0"/>
              <w:rPr>
                <w:rFonts w:hint="default" w:eastAsia="宋体"/>
                <w:color w:val="auto"/>
                <w:lang w:val="en-US" w:eastAsia="zh-CN"/>
              </w:rPr>
            </w:pPr>
            <w:bookmarkStart w:id="17" w:name="_Toc10541"/>
            <w:r>
              <w:rPr>
                <w:rFonts w:hint="eastAsia"/>
                <w:color w:val="auto"/>
                <w:lang w:val="en-US" w:eastAsia="zh-CN"/>
              </w:rPr>
              <w:t>检测气体</w:t>
            </w:r>
          </w:p>
        </w:tc>
        <w:tc>
          <w:tcPr>
            <w:tcW w:w="1242" w:type="pct"/>
            <w:shd w:val="clear" w:color="auto" w:fill="auto"/>
          </w:tcPr>
          <w:p w14:paraId="7678B523">
            <w:pPr>
              <w:pStyle w:val="7"/>
              <w:bidi w:val="0"/>
              <w:rPr>
                <w:rFonts w:hint="default" w:eastAsia="宋体"/>
                <w:color w:val="auto"/>
                <w:lang w:val="en-US" w:eastAsia="zh-CN"/>
              </w:rPr>
            </w:pPr>
            <w:r>
              <w:rPr>
                <w:rFonts w:hint="eastAsia"/>
                <w:color w:val="auto"/>
                <w:lang w:val="en-US" w:eastAsia="zh-CN"/>
              </w:rPr>
              <w:t>甲烷、丙烷、异丁烷、氢气</w:t>
            </w:r>
          </w:p>
        </w:tc>
        <w:tc>
          <w:tcPr>
            <w:tcW w:w="921" w:type="pct"/>
            <w:shd w:val="clear" w:color="auto" w:fill="auto"/>
          </w:tcPr>
          <w:p w14:paraId="021A51E5">
            <w:pPr>
              <w:pStyle w:val="7"/>
              <w:bidi w:val="0"/>
              <w:rPr>
                <w:rFonts w:hint="eastAsia" w:eastAsia="宋体"/>
                <w:lang w:val="en-US" w:eastAsia="zh-CN"/>
              </w:rPr>
            </w:pPr>
            <w:r>
              <w:rPr>
                <w:rFonts w:hint="eastAsia"/>
                <w:lang w:val="en-US" w:eastAsia="zh-CN"/>
              </w:rPr>
              <w:t>量程</w:t>
            </w:r>
          </w:p>
        </w:tc>
        <w:tc>
          <w:tcPr>
            <w:tcW w:w="1767" w:type="pct"/>
            <w:shd w:val="clear" w:color="auto" w:fill="auto"/>
          </w:tcPr>
          <w:p w14:paraId="7B586A1C">
            <w:pPr>
              <w:pStyle w:val="7"/>
              <w:bidi w:val="0"/>
              <w:rPr>
                <w:rFonts w:hint="default" w:ascii="宋体" w:hAnsi="宋体" w:eastAsia="宋体" w:cs="宋体"/>
                <w:lang w:val="en-US" w:eastAsia="zh-CN"/>
              </w:rPr>
            </w:pPr>
            <w:r>
              <w:rPr>
                <w:rFonts w:hint="eastAsia"/>
                <w:lang w:val="en-US" w:eastAsia="zh-CN"/>
              </w:rPr>
              <w:t>3%LEL</w:t>
            </w:r>
            <w:r>
              <w:rPr>
                <w:rFonts w:hint="eastAsia" w:ascii="宋体" w:hAnsi="宋体" w:eastAsia="宋体" w:cs="宋体"/>
                <w:lang w:val="en-US" w:eastAsia="zh-CN"/>
              </w:rPr>
              <w:t>∽</w:t>
            </w:r>
            <w:r>
              <w:rPr>
                <w:rFonts w:hint="eastAsia" w:cs="宋体"/>
                <w:lang w:val="en-US" w:eastAsia="zh-CN"/>
              </w:rPr>
              <w:t>100%LEL</w:t>
            </w:r>
          </w:p>
        </w:tc>
      </w:tr>
      <w:tr w14:paraId="47A3E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044B939A">
            <w:pPr>
              <w:pStyle w:val="7"/>
              <w:bidi w:val="0"/>
              <w:rPr>
                <w:rFonts w:hint="default" w:eastAsia="宋体"/>
                <w:lang w:val="en-US" w:eastAsia="zh-CN"/>
              </w:rPr>
            </w:pPr>
            <w:r>
              <w:rPr>
                <w:rFonts w:hint="eastAsia"/>
                <w:lang w:val="en-US" w:eastAsia="zh-CN"/>
              </w:rPr>
              <w:t>报警设定值</w:t>
            </w:r>
          </w:p>
        </w:tc>
        <w:tc>
          <w:tcPr>
            <w:tcW w:w="3931" w:type="pct"/>
            <w:gridSpan w:val="3"/>
            <w:shd w:val="clear" w:color="auto" w:fill="auto"/>
          </w:tcPr>
          <w:p w14:paraId="060B9482">
            <w:pPr>
              <w:pStyle w:val="7"/>
              <w:bidi w:val="0"/>
              <w:rPr>
                <w:rFonts w:hint="eastAsia"/>
              </w:rPr>
            </w:pPr>
            <w:r>
              <w:rPr>
                <w:rFonts w:hint="eastAsia"/>
                <w:lang w:val="en-US" w:eastAsia="zh-CN"/>
              </w:rPr>
              <w:t>低限报警设定值为25%LEL、高限报警设定值为50%LEL</w:t>
            </w:r>
          </w:p>
        </w:tc>
      </w:tr>
      <w:tr w14:paraId="67EE7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vAlign w:val="top"/>
          </w:tcPr>
          <w:p w14:paraId="4B7F7F79">
            <w:pPr>
              <w:pStyle w:val="7"/>
              <w:bidi w:val="0"/>
              <w:ind w:firstLine="0" w:firstLineChars="0"/>
              <w:rPr>
                <w:rFonts w:hint="default" w:ascii="宋体" w:hAnsi="宋体" w:eastAsia="宋体" w:cs="宋体"/>
                <w:kern w:val="2"/>
                <w:sz w:val="15"/>
                <w:szCs w:val="18"/>
                <w:lang w:val="en-US" w:eastAsia="zh-CN" w:bidi="ar-SA"/>
              </w:rPr>
            </w:pPr>
            <w:r>
              <w:rPr>
                <w:rFonts w:hint="eastAsia" w:cs="宋体"/>
                <w:kern w:val="2"/>
                <w:sz w:val="15"/>
                <w:szCs w:val="18"/>
                <w:lang w:val="en-US" w:eastAsia="zh-CN" w:bidi="ar-SA"/>
              </w:rPr>
              <w:t>工作温度</w:t>
            </w:r>
          </w:p>
        </w:tc>
        <w:tc>
          <w:tcPr>
            <w:tcW w:w="1242" w:type="pct"/>
            <w:shd w:val="clear" w:color="auto" w:fill="auto"/>
            <w:vAlign w:val="top"/>
          </w:tcPr>
          <w:p w14:paraId="3EACF2CA">
            <w:pPr>
              <w:pStyle w:val="7"/>
              <w:bidi w:val="0"/>
              <w:ind w:firstLine="0" w:firstLineChars="0"/>
              <w:rPr>
                <w:rFonts w:hint="default" w:ascii="宋体" w:hAnsi="宋体" w:eastAsia="宋体" w:cs="宋体"/>
                <w:kern w:val="2"/>
                <w:sz w:val="15"/>
                <w:szCs w:val="18"/>
                <w:lang w:val="en-US" w:eastAsia="zh-CN" w:bidi="ar-SA"/>
              </w:rPr>
            </w:pPr>
            <w:r>
              <w:rPr>
                <w:rFonts w:hint="eastAsia" w:cs="宋体"/>
                <w:kern w:val="2"/>
                <w:sz w:val="15"/>
                <w:szCs w:val="18"/>
                <w:lang w:val="en-US" w:eastAsia="zh-CN" w:bidi="ar-SA"/>
              </w:rPr>
              <w:t>-40℃</w:t>
            </w:r>
            <w:r>
              <w:rPr>
                <w:rFonts w:hint="eastAsia" w:ascii="宋体" w:hAnsi="宋体" w:eastAsia="宋体" w:cs="宋体"/>
                <w:lang w:val="en-US" w:eastAsia="zh-CN"/>
              </w:rPr>
              <w:t>∽</w:t>
            </w:r>
            <w:r>
              <w:rPr>
                <w:rFonts w:hint="eastAsia" w:cs="宋体"/>
                <w:lang w:val="en-US" w:eastAsia="zh-CN"/>
              </w:rPr>
              <w:t>70℃</w:t>
            </w:r>
          </w:p>
        </w:tc>
        <w:tc>
          <w:tcPr>
            <w:tcW w:w="921" w:type="pct"/>
            <w:shd w:val="clear" w:color="auto" w:fill="auto"/>
            <w:vAlign w:val="top"/>
          </w:tcPr>
          <w:p w14:paraId="0BE265DF">
            <w:pPr>
              <w:pStyle w:val="7"/>
              <w:bidi w:val="0"/>
              <w:ind w:firstLine="0" w:firstLineChars="0"/>
              <w:rPr>
                <w:rFonts w:hint="default" w:ascii="宋体" w:hAnsi="宋体" w:eastAsia="宋体" w:cs="宋体"/>
                <w:kern w:val="2"/>
                <w:sz w:val="15"/>
                <w:szCs w:val="18"/>
                <w:lang w:val="en-US" w:eastAsia="zh-CN" w:bidi="ar-SA"/>
              </w:rPr>
            </w:pPr>
            <w:r>
              <w:rPr>
                <w:rFonts w:hint="eastAsia" w:cs="宋体"/>
                <w:kern w:val="2"/>
                <w:sz w:val="15"/>
                <w:szCs w:val="18"/>
                <w:lang w:val="en-US" w:eastAsia="zh-CN" w:bidi="ar-SA"/>
              </w:rPr>
              <w:t>工作湿度</w:t>
            </w:r>
          </w:p>
        </w:tc>
        <w:tc>
          <w:tcPr>
            <w:tcW w:w="1767" w:type="pct"/>
            <w:shd w:val="clear" w:color="auto" w:fill="auto"/>
            <w:vAlign w:val="top"/>
          </w:tcPr>
          <w:p w14:paraId="6E514A81">
            <w:pPr>
              <w:pStyle w:val="7"/>
              <w:bidi w:val="0"/>
              <w:ind w:firstLine="0" w:firstLineChars="0"/>
              <w:rPr>
                <w:rFonts w:hint="default" w:ascii="宋体" w:hAnsi="宋体" w:eastAsia="宋体" w:cs="宋体"/>
                <w:kern w:val="2"/>
                <w:sz w:val="15"/>
                <w:szCs w:val="18"/>
                <w:lang w:val="en-US" w:eastAsia="zh-CN" w:bidi="ar-SA"/>
              </w:rPr>
            </w:pPr>
            <w:r>
              <w:rPr>
                <w:rFonts w:hint="eastAsia" w:cs="宋体"/>
                <w:kern w:val="2"/>
                <w:sz w:val="15"/>
                <w:szCs w:val="18"/>
                <w:lang w:val="en-US" w:eastAsia="zh-CN" w:bidi="ar-SA"/>
              </w:rPr>
              <w:t>≤96%RH</w:t>
            </w:r>
          </w:p>
        </w:tc>
      </w:tr>
      <w:tr w14:paraId="1E21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vAlign w:val="top"/>
          </w:tcPr>
          <w:p w14:paraId="5C911F50">
            <w:pPr>
              <w:pStyle w:val="7"/>
              <w:bidi w:val="0"/>
              <w:ind w:firstLine="0" w:firstLineChars="0"/>
              <w:rPr>
                <w:rFonts w:hint="eastAsia" w:ascii="宋体" w:hAnsi="宋体" w:eastAsia="宋体" w:cs="宋体"/>
                <w:kern w:val="2"/>
                <w:sz w:val="15"/>
                <w:szCs w:val="18"/>
                <w:lang w:val="en-US" w:eastAsia="zh-CN" w:bidi="ar-SA"/>
              </w:rPr>
            </w:pPr>
            <w:r>
              <w:rPr>
                <w:rFonts w:hint="eastAsia"/>
              </w:rPr>
              <w:t>采样方式</w:t>
            </w:r>
          </w:p>
        </w:tc>
        <w:tc>
          <w:tcPr>
            <w:tcW w:w="1242" w:type="pct"/>
            <w:shd w:val="clear" w:color="auto" w:fill="auto"/>
            <w:vAlign w:val="top"/>
          </w:tcPr>
          <w:p w14:paraId="4F1CBEED">
            <w:pPr>
              <w:pStyle w:val="7"/>
              <w:bidi w:val="0"/>
              <w:ind w:firstLine="0" w:firstLineChars="0"/>
              <w:rPr>
                <w:rFonts w:hint="eastAsia" w:ascii="宋体" w:hAnsi="宋体" w:eastAsia="宋体" w:cs="宋体"/>
                <w:kern w:val="2"/>
                <w:sz w:val="15"/>
                <w:szCs w:val="18"/>
                <w:lang w:val="en-US" w:eastAsia="zh-CN" w:bidi="ar-SA"/>
              </w:rPr>
            </w:pPr>
            <w:r>
              <w:rPr>
                <w:rFonts w:hint="eastAsia"/>
              </w:rPr>
              <w:t>自由扩散式</w:t>
            </w:r>
          </w:p>
        </w:tc>
        <w:tc>
          <w:tcPr>
            <w:tcW w:w="921" w:type="pct"/>
            <w:shd w:val="clear" w:color="auto" w:fill="auto"/>
            <w:vAlign w:val="top"/>
          </w:tcPr>
          <w:p w14:paraId="769662C7">
            <w:pPr>
              <w:pStyle w:val="7"/>
              <w:bidi w:val="0"/>
              <w:ind w:firstLine="0" w:firstLineChars="0"/>
              <w:rPr>
                <w:rFonts w:hint="eastAsia" w:ascii="宋体" w:hAnsi="宋体" w:eastAsia="宋体" w:cs="宋体"/>
                <w:kern w:val="2"/>
                <w:sz w:val="15"/>
                <w:szCs w:val="18"/>
                <w:lang w:val="en-US" w:eastAsia="zh-CN" w:bidi="ar-SA"/>
              </w:rPr>
            </w:pPr>
            <w:r>
              <w:rPr>
                <w:rFonts w:hint="eastAsia"/>
              </w:rPr>
              <w:t>显示方式</w:t>
            </w:r>
          </w:p>
        </w:tc>
        <w:tc>
          <w:tcPr>
            <w:tcW w:w="1767" w:type="pct"/>
            <w:shd w:val="clear" w:color="auto" w:fill="auto"/>
            <w:vAlign w:val="top"/>
          </w:tcPr>
          <w:p w14:paraId="41C9C858">
            <w:pPr>
              <w:pStyle w:val="7"/>
              <w:bidi w:val="0"/>
              <w:ind w:firstLine="0" w:firstLineChars="0"/>
              <w:rPr>
                <w:rFonts w:hint="eastAsia" w:ascii="宋体" w:hAnsi="宋体" w:eastAsia="宋体" w:cs="宋体"/>
                <w:kern w:val="2"/>
                <w:sz w:val="15"/>
                <w:szCs w:val="18"/>
                <w:lang w:val="en-US" w:eastAsia="zh-CN" w:bidi="ar-SA"/>
              </w:rPr>
            </w:pPr>
            <w:r>
              <w:rPr>
                <w:rFonts w:hint="eastAsia"/>
              </w:rPr>
              <w:t>LCD液晶</w:t>
            </w:r>
          </w:p>
        </w:tc>
      </w:tr>
      <w:tr w14:paraId="4B095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65F8BBD5">
            <w:pPr>
              <w:pStyle w:val="7"/>
              <w:bidi w:val="0"/>
              <w:rPr>
                <w:rFonts w:hint="eastAsia"/>
              </w:rPr>
            </w:pPr>
            <w:r>
              <w:rPr>
                <w:rFonts w:hint="eastAsia"/>
              </w:rPr>
              <w:t>通讯方式</w:t>
            </w:r>
          </w:p>
        </w:tc>
        <w:tc>
          <w:tcPr>
            <w:tcW w:w="1242" w:type="pct"/>
            <w:shd w:val="clear" w:color="auto" w:fill="auto"/>
            <w:vAlign w:val="center"/>
          </w:tcPr>
          <w:p w14:paraId="766968DD">
            <w:pPr>
              <w:pStyle w:val="7"/>
              <w:bidi w:val="0"/>
              <w:rPr>
                <w:rFonts w:hint="eastAsia"/>
              </w:rPr>
            </w:pPr>
            <w:r>
              <w:rPr>
                <w:rFonts w:hint="eastAsia"/>
              </w:rPr>
              <w:t>4-20mA</w:t>
            </w:r>
          </w:p>
        </w:tc>
        <w:tc>
          <w:tcPr>
            <w:tcW w:w="921" w:type="pct"/>
            <w:shd w:val="clear" w:color="auto" w:fill="auto"/>
          </w:tcPr>
          <w:p w14:paraId="74A9AA6E">
            <w:pPr>
              <w:pStyle w:val="7"/>
              <w:bidi w:val="0"/>
              <w:rPr>
                <w:rFonts w:hint="eastAsia"/>
              </w:rPr>
            </w:pPr>
            <w:r>
              <w:rPr>
                <w:rFonts w:hint="eastAsia"/>
              </w:rPr>
              <w:t>安装螺纹</w:t>
            </w:r>
          </w:p>
        </w:tc>
        <w:tc>
          <w:tcPr>
            <w:tcW w:w="1767" w:type="pct"/>
            <w:shd w:val="clear" w:color="auto" w:fill="auto"/>
          </w:tcPr>
          <w:p w14:paraId="08E0A3D6">
            <w:pPr>
              <w:pStyle w:val="7"/>
              <w:bidi w:val="0"/>
              <w:rPr>
                <w:rFonts w:hint="eastAsia"/>
              </w:rPr>
            </w:pPr>
            <w:r>
              <w:rPr>
                <w:rFonts w:hint="eastAsia"/>
              </w:rPr>
              <w:t>M20X1.5</w:t>
            </w:r>
          </w:p>
        </w:tc>
      </w:tr>
      <w:tr w14:paraId="4B641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570A5692">
            <w:pPr>
              <w:pStyle w:val="7"/>
              <w:bidi w:val="0"/>
              <w:rPr>
                <w:rFonts w:hint="eastAsia"/>
              </w:rPr>
            </w:pPr>
            <w:r>
              <w:rPr>
                <w:rFonts w:hint="eastAsia"/>
              </w:rPr>
              <w:t>响应时间</w:t>
            </w:r>
          </w:p>
        </w:tc>
        <w:tc>
          <w:tcPr>
            <w:tcW w:w="1242" w:type="pct"/>
            <w:shd w:val="clear" w:color="auto" w:fill="auto"/>
          </w:tcPr>
          <w:p w14:paraId="6107038F">
            <w:pPr>
              <w:pStyle w:val="7"/>
              <w:bidi w:val="0"/>
              <w:rPr>
                <w:rFonts w:hint="eastAsia"/>
              </w:rPr>
            </w:pPr>
            <w:r>
              <w:rPr>
                <w:rFonts w:hint="eastAsia"/>
              </w:rPr>
              <w:t>≤30s</w:t>
            </w:r>
          </w:p>
        </w:tc>
        <w:tc>
          <w:tcPr>
            <w:tcW w:w="921" w:type="pct"/>
            <w:shd w:val="clear" w:color="auto" w:fill="auto"/>
          </w:tcPr>
          <w:p w14:paraId="23BF4049">
            <w:pPr>
              <w:pStyle w:val="7"/>
              <w:bidi w:val="0"/>
              <w:rPr>
                <w:rFonts w:hint="eastAsia"/>
              </w:rPr>
            </w:pPr>
            <w:r>
              <w:rPr>
                <w:rFonts w:hint="eastAsia"/>
              </w:rPr>
              <w:t>警</w:t>
            </w:r>
            <w:r>
              <w:rPr>
                <w:rFonts w:hint="eastAsia"/>
                <w:lang w:val="en-US" w:eastAsia="zh-CN"/>
              </w:rPr>
              <w:t xml:space="preserve"> </w:t>
            </w:r>
            <w:r>
              <w:rPr>
                <w:rFonts w:hint="eastAsia"/>
              </w:rPr>
              <w:t>告</w:t>
            </w:r>
            <w:r>
              <w:rPr>
                <w:rFonts w:hint="eastAsia"/>
                <w:lang w:val="en-US" w:eastAsia="zh-CN"/>
              </w:rPr>
              <w:t xml:space="preserve"> </w:t>
            </w:r>
            <w:r>
              <w:rPr>
                <w:rFonts w:hint="eastAsia"/>
              </w:rPr>
              <w:t>语</w:t>
            </w:r>
          </w:p>
        </w:tc>
        <w:tc>
          <w:tcPr>
            <w:tcW w:w="1767" w:type="pct"/>
            <w:shd w:val="clear" w:color="auto" w:fill="auto"/>
          </w:tcPr>
          <w:p w14:paraId="6D5BF7EC">
            <w:pPr>
              <w:pStyle w:val="7"/>
              <w:bidi w:val="0"/>
              <w:rPr>
                <w:rFonts w:hint="eastAsia"/>
              </w:rPr>
            </w:pPr>
            <w:r>
              <w:rPr>
                <w:rFonts w:hint="eastAsia"/>
              </w:rPr>
              <w:t>严禁带电开盖</w:t>
            </w:r>
          </w:p>
        </w:tc>
      </w:tr>
      <w:tr w14:paraId="219C8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263CC643">
            <w:pPr>
              <w:pStyle w:val="7"/>
              <w:bidi w:val="0"/>
              <w:rPr>
                <w:rFonts w:hint="eastAsia"/>
              </w:rPr>
            </w:pPr>
            <w:r>
              <w:rPr>
                <w:rFonts w:hint="eastAsia"/>
              </w:rPr>
              <w:t>供电电压</w:t>
            </w:r>
          </w:p>
        </w:tc>
        <w:tc>
          <w:tcPr>
            <w:tcW w:w="1242" w:type="pct"/>
            <w:shd w:val="clear" w:color="auto" w:fill="auto"/>
          </w:tcPr>
          <w:p w14:paraId="4F39A6B1">
            <w:pPr>
              <w:pStyle w:val="7"/>
              <w:bidi w:val="0"/>
              <w:rPr>
                <w:rFonts w:hint="eastAsia"/>
              </w:rPr>
            </w:pPr>
            <w:r>
              <w:rPr>
                <w:rFonts w:hint="eastAsia"/>
              </w:rPr>
              <w:t>DC24V</w:t>
            </w:r>
          </w:p>
        </w:tc>
        <w:tc>
          <w:tcPr>
            <w:tcW w:w="921" w:type="pct"/>
            <w:shd w:val="clear" w:color="auto" w:fill="auto"/>
          </w:tcPr>
          <w:p w14:paraId="221A2F7E">
            <w:pPr>
              <w:pStyle w:val="7"/>
              <w:bidi w:val="0"/>
              <w:rPr>
                <w:rFonts w:hint="eastAsia"/>
              </w:rPr>
            </w:pPr>
            <w:r>
              <w:rPr>
                <w:rFonts w:hint="eastAsia"/>
              </w:rPr>
              <w:t xml:space="preserve">功 </w:t>
            </w:r>
            <w:r>
              <w:rPr>
                <w:rFonts w:hint="eastAsia"/>
                <w:lang w:val="en-US" w:eastAsia="zh-CN"/>
              </w:rPr>
              <w:t xml:space="preserve"> </w:t>
            </w:r>
            <w:r>
              <w:rPr>
                <w:rFonts w:hint="eastAsia"/>
              </w:rPr>
              <w:t xml:space="preserve">  耗</w:t>
            </w:r>
          </w:p>
        </w:tc>
        <w:tc>
          <w:tcPr>
            <w:tcW w:w="1767" w:type="pct"/>
            <w:shd w:val="clear" w:color="auto" w:fill="auto"/>
          </w:tcPr>
          <w:p w14:paraId="13DF6258">
            <w:pPr>
              <w:pStyle w:val="7"/>
              <w:bidi w:val="0"/>
              <w:rPr>
                <w:rFonts w:hint="eastAsia"/>
              </w:rPr>
            </w:pPr>
            <w:r>
              <w:rPr>
                <w:rFonts w:hint="eastAsia"/>
              </w:rPr>
              <w:t>＜3W</w:t>
            </w:r>
          </w:p>
        </w:tc>
      </w:tr>
      <w:tr w14:paraId="65E91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jc w:val="center"/>
        </w:trPr>
        <w:tc>
          <w:tcPr>
            <w:tcW w:w="1068" w:type="pct"/>
            <w:shd w:val="clear" w:color="auto" w:fill="auto"/>
          </w:tcPr>
          <w:p w14:paraId="5E0FD762">
            <w:pPr>
              <w:pStyle w:val="7"/>
              <w:bidi w:val="0"/>
              <w:rPr>
                <w:rFonts w:hint="eastAsia"/>
              </w:rPr>
            </w:pPr>
            <w:r>
              <w:rPr>
                <w:rFonts w:hint="eastAsia"/>
              </w:rPr>
              <w:t>重    量</w:t>
            </w:r>
          </w:p>
        </w:tc>
        <w:tc>
          <w:tcPr>
            <w:tcW w:w="1242" w:type="pct"/>
            <w:shd w:val="clear" w:color="auto" w:fill="auto"/>
          </w:tcPr>
          <w:p w14:paraId="3BAEF74E">
            <w:pPr>
              <w:pStyle w:val="7"/>
              <w:bidi w:val="0"/>
              <w:rPr>
                <w:rFonts w:hint="eastAsia"/>
              </w:rPr>
            </w:pPr>
            <w:r>
              <w:rPr>
                <w:rFonts w:hint="eastAsia"/>
              </w:rPr>
              <w:t>1kg</w:t>
            </w:r>
          </w:p>
        </w:tc>
        <w:tc>
          <w:tcPr>
            <w:tcW w:w="921" w:type="pct"/>
            <w:shd w:val="clear" w:color="auto" w:fill="auto"/>
          </w:tcPr>
          <w:p w14:paraId="40A9FF9E">
            <w:pPr>
              <w:pStyle w:val="7"/>
              <w:bidi w:val="0"/>
              <w:rPr>
                <w:rFonts w:hint="eastAsia"/>
              </w:rPr>
            </w:pPr>
            <w:r>
              <w:rPr>
                <w:rFonts w:hint="eastAsia"/>
              </w:rPr>
              <w:t>尺    寸</w:t>
            </w:r>
          </w:p>
        </w:tc>
        <w:tc>
          <w:tcPr>
            <w:tcW w:w="1767" w:type="pct"/>
            <w:shd w:val="clear" w:color="auto" w:fill="auto"/>
          </w:tcPr>
          <w:p w14:paraId="7C5B7E3A">
            <w:pPr>
              <w:pStyle w:val="7"/>
              <w:bidi w:val="0"/>
              <w:rPr>
                <w:rFonts w:hint="eastAsia"/>
              </w:rPr>
            </w:pPr>
            <w:r>
              <w:rPr>
                <w:rFonts w:hint="eastAsia"/>
              </w:rPr>
              <w:t>155mm*148mm*75mm</w:t>
            </w:r>
          </w:p>
        </w:tc>
      </w:tr>
      <w:tr w14:paraId="7F76C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1BC7E90F">
            <w:pPr>
              <w:pStyle w:val="7"/>
              <w:bidi w:val="0"/>
              <w:rPr>
                <w:rFonts w:hint="eastAsia"/>
              </w:rPr>
            </w:pPr>
            <w:r>
              <w:rPr>
                <w:rFonts w:hint="eastAsia"/>
              </w:rPr>
              <w:t>报警方式</w:t>
            </w:r>
          </w:p>
        </w:tc>
        <w:tc>
          <w:tcPr>
            <w:tcW w:w="3931" w:type="pct"/>
            <w:gridSpan w:val="3"/>
            <w:shd w:val="clear" w:color="auto" w:fill="auto"/>
          </w:tcPr>
          <w:p w14:paraId="1C90704B">
            <w:pPr>
              <w:pStyle w:val="7"/>
              <w:bidi w:val="0"/>
              <w:rPr>
                <w:rFonts w:hint="eastAsia"/>
              </w:rPr>
            </w:pPr>
            <w:r>
              <w:rPr>
                <w:rFonts w:hint="eastAsia"/>
              </w:rPr>
              <w:t>声光报警灯（选配）</w:t>
            </w:r>
          </w:p>
        </w:tc>
      </w:tr>
      <w:tr w14:paraId="77EB5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7DFFF2BD">
            <w:pPr>
              <w:pStyle w:val="7"/>
              <w:bidi w:val="0"/>
              <w:rPr>
                <w:rFonts w:hint="eastAsia"/>
              </w:rPr>
            </w:pPr>
            <w:r>
              <w:rPr>
                <w:rFonts w:hint="eastAsia"/>
              </w:rPr>
              <w:t>报警输出</w:t>
            </w:r>
          </w:p>
        </w:tc>
        <w:tc>
          <w:tcPr>
            <w:tcW w:w="3931" w:type="pct"/>
            <w:gridSpan w:val="3"/>
            <w:shd w:val="clear" w:color="auto" w:fill="auto"/>
          </w:tcPr>
          <w:p w14:paraId="4826BEDA">
            <w:pPr>
              <w:pStyle w:val="7"/>
              <w:bidi w:val="0"/>
              <w:rPr>
                <w:rFonts w:hint="eastAsia"/>
              </w:rPr>
            </w:pPr>
            <w:r>
              <w:rPr>
                <w:rFonts w:hint="eastAsia"/>
              </w:rPr>
              <w:t>3路继电器输出：1A；无源常开触点</w:t>
            </w:r>
          </w:p>
        </w:tc>
      </w:tr>
      <w:tr w14:paraId="608E6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3" w:hRule="atLeast"/>
          <w:jc w:val="center"/>
        </w:trPr>
        <w:tc>
          <w:tcPr>
            <w:tcW w:w="1068" w:type="pct"/>
            <w:shd w:val="clear" w:color="auto" w:fill="auto"/>
            <w:vAlign w:val="center"/>
          </w:tcPr>
          <w:p w14:paraId="0B4BC73B">
            <w:pPr>
              <w:pStyle w:val="7"/>
              <w:bidi w:val="0"/>
              <w:jc w:val="center"/>
              <w:rPr>
                <w:rFonts w:hint="eastAsia"/>
              </w:rPr>
            </w:pPr>
            <w:r>
              <w:rPr>
                <w:rFonts w:hint="eastAsia"/>
              </w:rPr>
              <w:t>传感器寿命</w:t>
            </w:r>
          </w:p>
        </w:tc>
        <w:tc>
          <w:tcPr>
            <w:tcW w:w="3931" w:type="pct"/>
            <w:gridSpan w:val="3"/>
            <w:shd w:val="clear" w:color="auto" w:fill="auto"/>
            <w:vAlign w:val="center"/>
          </w:tcPr>
          <w:p w14:paraId="15C28624">
            <w:pPr>
              <w:pStyle w:val="7"/>
              <w:bidi w:val="0"/>
              <w:jc w:val="center"/>
              <w:rPr>
                <w:rFonts w:hint="eastAsia"/>
              </w:rPr>
            </w:pPr>
            <w:r>
              <w:rPr>
                <w:rFonts w:hint="eastAsia"/>
                <w:lang w:val="en-US" w:eastAsia="zh-CN"/>
              </w:rPr>
              <w:t>一般为3-5年，</w:t>
            </w:r>
            <w:r>
              <w:rPr>
                <w:rFonts w:hint="eastAsia"/>
              </w:rPr>
              <w:t>实际使用寿命与工作环境有直接的关系</w:t>
            </w:r>
          </w:p>
        </w:tc>
      </w:tr>
      <w:tr w14:paraId="05544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5DAE0CCD">
            <w:pPr>
              <w:pStyle w:val="7"/>
              <w:bidi w:val="0"/>
              <w:rPr>
                <w:rFonts w:hint="eastAsia"/>
              </w:rPr>
            </w:pPr>
            <w:r>
              <w:rPr>
                <w:rFonts w:hint="eastAsia"/>
              </w:rPr>
              <w:t>安装方式</w:t>
            </w:r>
          </w:p>
        </w:tc>
        <w:tc>
          <w:tcPr>
            <w:tcW w:w="3931" w:type="pct"/>
            <w:gridSpan w:val="3"/>
            <w:shd w:val="clear" w:color="auto" w:fill="auto"/>
          </w:tcPr>
          <w:p w14:paraId="7AFA0FDE">
            <w:pPr>
              <w:pStyle w:val="7"/>
              <w:bidi w:val="0"/>
              <w:rPr>
                <w:rFonts w:hint="eastAsia"/>
              </w:rPr>
            </w:pPr>
            <w:r>
              <w:rPr>
                <w:rFonts w:hint="eastAsia"/>
              </w:rPr>
              <w:t>固定支架、管装、贴壁</w:t>
            </w:r>
          </w:p>
        </w:tc>
      </w:tr>
      <w:tr w14:paraId="30573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8" w:hRule="atLeast"/>
          <w:jc w:val="center"/>
        </w:trPr>
        <w:tc>
          <w:tcPr>
            <w:tcW w:w="1068" w:type="pct"/>
            <w:shd w:val="clear" w:color="auto" w:fill="auto"/>
          </w:tcPr>
          <w:p w14:paraId="2597F97D">
            <w:pPr>
              <w:pStyle w:val="7"/>
              <w:bidi w:val="0"/>
              <w:rPr>
                <w:rFonts w:hint="eastAsia"/>
              </w:rPr>
            </w:pPr>
            <w:r>
              <w:rPr>
                <w:rFonts w:hint="eastAsia"/>
              </w:rPr>
              <w:t>防爆等级</w:t>
            </w:r>
          </w:p>
        </w:tc>
        <w:tc>
          <w:tcPr>
            <w:tcW w:w="3931" w:type="pct"/>
            <w:gridSpan w:val="3"/>
            <w:shd w:val="clear" w:color="auto" w:fill="auto"/>
          </w:tcPr>
          <w:p w14:paraId="0F6329C2">
            <w:pPr>
              <w:pStyle w:val="7"/>
              <w:bidi w:val="0"/>
              <w:rPr>
                <w:rFonts w:hint="eastAsia"/>
              </w:rPr>
            </w:pPr>
            <w:r>
              <w:rPr>
                <w:rFonts w:hint="eastAsia"/>
              </w:rPr>
              <w:t>Ex db ⅡC T6 Gb/Ex tb ⅢC T80℃ Db</w:t>
            </w:r>
          </w:p>
        </w:tc>
      </w:tr>
      <w:tr w14:paraId="27B85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8" w:hRule="atLeast"/>
          <w:jc w:val="center"/>
        </w:trPr>
        <w:tc>
          <w:tcPr>
            <w:tcW w:w="1068" w:type="pct"/>
            <w:shd w:val="clear" w:color="auto" w:fill="auto"/>
          </w:tcPr>
          <w:p w14:paraId="4A18E357">
            <w:pPr>
              <w:pStyle w:val="7"/>
              <w:bidi w:val="0"/>
              <w:rPr>
                <w:rFonts w:hint="eastAsia"/>
              </w:rPr>
            </w:pPr>
            <w:r>
              <w:rPr>
                <w:rFonts w:hint="eastAsia"/>
              </w:rPr>
              <w:t>防护等级</w:t>
            </w:r>
          </w:p>
        </w:tc>
        <w:tc>
          <w:tcPr>
            <w:tcW w:w="3931" w:type="pct"/>
            <w:gridSpan w:val="3"/>
            <w:shd w:val="clear" w:color="auto" w:fill="auto"/>
          </w:tcPr>
          <w:p w14:paraId="112FDA14">
            <w:pPr>
              <w:pStyle w:val="7"/>
              <w:bidi w:val="0"/>
              <w:rPr>
                <w:rFonts w:hint="eastAsia"/>
              </w:rPr>
            </w:pPr>
            <w:r>
              <w:rPr>
                <w:rFonts w:hint="eastAsia"/>
              </w:rPr>
              <w:t>IP66</w:t>
            </w:r>
          </w:p>
        </w:tc>
      </w:tr>
      <w:bookmarkEnd w:id="17"/>
    </w:tbl>
    <w:p w14:paraId="016DC463">
      <w:pPr>
        <w:pStyle w:val="3"/>
        <w:bidi w:val="0"/>
        <w:rPr>
          <w:rFonts w:hint="eastAsia" w:ascii="思源黑体" w:hAnsi="思源黑体" w:eastAsia="思源黑体" w:cs="思源黑体"/>
          <w:sz w:val="16"/>
          <w:szCs w:val="16"/>
          <w:lang w:val="en-US" w:eastAsia="zh-CN"/>
        </w:rPr>
      </w:pPr>
      <w:bookmarkStart w:id="18" w:name="_Toc5353"/>
      <w:bookmarkStart w:id="19" w:name="_Toc14862"/>
      <w:bookmarkStart w:id="20" w:name="_Toc100305634"/>
    </w:p>
    <w:p w14:paraId="690D9645">
      <w:pPr>
        <w:rPr>
          <w:rFonts w:hint="eastAsia" w:ascii="思源黑体" w:hAnsi="思源黑体" w:eastAsia="思源黑体" w:cs="思源黑体"/>
          <w:sz w:val="16"/>
          <w:szCs w:val="16"/>
          <w:lang w:val="en-US" w:eastAsia="zh-CN"/>
        </w:rPr>
      </w:pPr>
    </w:p>
    <w:p w14:paraId="5F0AAA7C">
      <w:pPr>
        <w:pStyle w:val="3"/>
        <w:bidi w:val="0"/>
        <w:rPr>
          <w:rFonts w:hint="eastAsia"/>
          <w:lang w:val="en-US" w:eastAsia="zh-CN"/>
        </w:rPr>
      </w:pPr>
      <w:bookmarkStart w:id="21" w:name="_Toc20144"/>
      <w:r>
        <w:rPr>
          <w:rFonts w:hint="eastAsia"/>
          <w:lang w:val="en-US" w:eastAsia="zh-CN"/>
        </w:rPr>
        <w:t>3.2 CPA获证情况一览表：</w:t>
      </w:r>
      <w:bookmarkEnd w:id="21"/>
      <w:r>
        <w:rPr>
          <w:rFonts w:hint="eastAsia"/>
          <w:lang w:val="en-US" w:eastAsia="zh-CN"/>
        </w:rPr>
        <w:t xml:space="preserve"> </w:t>
      </w:r>
    </w:p>
    <w:tbl>
      <w:tblPr>
        <w:tblStyle w:val="14"/>
        <w:tblW w:w="506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98"/>
        <w:gridCol w:w="964"/>
        <w:gridCol w:w="1810"/>
      </w:tblGrid>
      <w:tr w14:paraId="6B9B2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1" w:hRule="atLeast"/>
          <w:jc w:val="center"/>
        </w:trPr>
        <w:tc>
          <w:tcPr>
            <w:tcW w:w="1828" w:type="pct"/>
            <w:vAlign w:val="center"/>
          </w:tcPr>
          <w:p w14:paraId="4DA05C14">
            <w:pPr>
              <w:pStyle w:val="7"/>
              <w:bidi w:val="0"/>
              <w:jc w:val="center"/>
              <w:rPr>
                <w:rFonts w:hint="eastAsia"/>
                <w:lang w:val="en-US" w:eastAsia="zh-CN"/>
              </w:rPr>
            </w:pPr>
            <w:r>
              <w:rPr>
                <w:rFonts w:hint="eastAsia"/>
                <w:lang w:val="en-US" w:eastAsia="zh-CN"/>
              </w:rPr>
              <w:t>产品型号</w:t>
            </w:r>
          </w:p>
        </w:tc>
        <w:tc>
          <w:tcPr>
            <w:tcW w:w="1102" w:type="pct"/>
            <w:vAlign w:val="center"/>
          </w:tcPr>
          <w:p w14:paraId="37002EF9">
            <w:pPr>
              <w:pStyle w:val="7"/>
              <w:bidi w:val="0"/>
              <w:jc w:val="center"/>
              <w:rPr>
                <w:rFonts w:hint="eastAsia"/>
                <w:lang w:val="en-US" w:eastAsia="zh-CN"/>
              </w:rPr>
            </w:pPr>
            <w:r>
              <w:rPr>
                <w:rFonts w:hint="eastAsia"/>
                <w:lang w:val="en-US" w:eastAsia="zh-CN"/>
              </w:rPr>
              <w:t>检测气体</w:t>
            </w:r>
          </w:p>
        </w:tc>
        <w:tc>
          <w:tcPr>
            <w:tcW w:w="2069" w:type="pct"/>
            <w:vAlign w:val="center"/>
          </w:tcPr>
          <w:p w14:paraId="4AFA4B46">
            <w:pPr>
              <w:pStyle w:val="7"/>
              <w:bidi w:val="0"/>
              <w:jc w:val="center"/>
              <w:rPr>
                <w:rFonts w:hint="eastAsia"/>
                <w:lang w:val="en-US" w:eastAsia="zh-CN"/>
              </w:rPr>
            </w:pPr>
            <w:r>
              <w:rPr>
                <w:rFonts w:hint="eastAsia"/>
                <w:lang w:val="en-US" w:eastAsia="zh-CN"/>
              </w:rPr>
              <w:t>CPA编号</w:t>
            </w:r>
          </w:p>
        </w:tc>
      </w:tr>
      <w:tr w14:paraId="4A1E4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1" w:hRule="atLeast"/>
          <w:jc w:val="center"/>
        </w:trPr>
        <w:tc>
          <w:tcPr>
            <w:tcW w:w="1828" w:type="pct"/>
            <w:vAlign w:val="center"/>
          </w:tcPr>
          <w:p w14:paraId="411B8F9F">
            <w:pPr>
              <w:pStyle w:val="7"/>
              <w:bidi w:val="0"/>
              <w:jc w:val="center"/>
              <w:rPr>
                <w:rFonts w:hint="eastAsia"/>
                <w:lang w:val="en-US" w:eastAsia="zh-CN"/>
              </w:rPr>
            </w:pPr>
            <w:r>
              <w:rPr>
                <w:rFonts w:hint="eastAsia"/>
                <w:lang w:val="en-US" w:eastAsia="zh-CN"/>
              </w:rPr>
              <w:t>GTYQ-RZLCD15系列</w:t>
            </w:r>
          </w:p>
        </w:tc>
        <w:tc>
          <w:tcPr>
            <w:tcW w:w="1102" w:type="pct"/>
            <w:vAlign w:val="center"/>
          </w:tcPr>
          <w:p w14:paraId="6B5A4BA1">
            <w:pPr>
              <w:pStyle w:val="7"/>
              <w:bidi w:val="0"/>
              <w:jc w:val="center"/>
              <w:rPr>
                <w:rFonts w:hint="eastAsia"/>
                <w:lang w:val="en-US" w:eastAsia="zh-CN"/>
              </w:rPr>
            </w:pPr>
            <w:r>
              <w:rPr>
                <w:rFonts w:hint="eastAsia"/>
                <w:lang w:val="en-US" w:eastAsia="zh-CN"/>
              </w:rPr>
              <w:t>甲烷</w:t>
            </w:r>
          </w:p>
        </w:tc>
        <w:tc>
          <w:tcPr>
            <w:tcW w:w="2069" w:type="pct"/>
            <w:vAlign w:val="center"/>
          </w:tcPr>
          <w:p w14:paraId="69178834">
            <w:pPr>
              <w:pStyle w:val="7"/>
              <w:bidi w:val="0"/>
              <w:jc w:val="center"/>
              <w:rPr>
                <w:rFonts w:hint="eastAsia"/>
                <w:lang w:val="en-US" w:eastAsia="zh-CN"/>
              </w:rPr>
            </w:pPr>
            <w:r>
              <w:rPr>
                <w:rFonts w:hint="eastAsia"/>
                <w:lang w:val="en-US" w:eastAsia="zh-CN"/>
              </w:rPr>
              <w:t>2022F543-37</w:t>
            </w:r>
          </w:p>
        </w:tc>
      </w:tr>
    </w:tbl>
    <w:p w14:paraId="32D0FE53">
      <w:pPr>
        <w:rPr>
          <w:rFonts w:hint="eastAsia" w:ascii="思源黑体" w:hAnsi="思源黑体" w:eastAsia="思源黑体" w:cs="思源黑体"/>
          <w:sz w:val="16"/>
          <w:szCs w:val="16"/>
          <w:lang w:val="en-US" w:eastAsia="zh-CN"/>
        </w:rPr>
      </w:pPr>
    </w:p>
    <w:p w14:paraId="4FC6226C">
      <w:pPr>
        <w:rPr>
          <w:rFonts w:hint="eastAsia" w:ascii="思源黑体" w:hAnsi="思源黑体" w:eastAsia="思源黑体" w:cs="思源黑体"/>
          <w:sz w:val="16"/>
          <w:szCs w:val="16"/>
          <w:lang w:val="en-US" w:eastAsia="zh-CN"/>
        </w:rPr>
      </w:pPr>
    </w:p>
    <w:p w14:paraId="0CD9CAF6">
      <w:pPr>
        <w:rPr>
          <w:rFonts w:hint="eastAsia" w:ascii="思源黑体" w:hAnsi="思源黑体" w:eastAsia="思源黑体" w:cs="思源黑体"/>
          <w:sz w:val="16"/>
          <w:szCs w:val="16"/>
          <w:lang w:val="en-US" w:eastAsia="zh-CN"/>
        </w:rPr>
      </w:pPr>
    </w:p>
    <w:p w14:paraId="1EB52937">
      <w:pPr>
        <w:rPr>
          <w:rFonts w:hint="eastAsia" w:ascii="思源黑体" w:hAnsi="思源黑体" w:eastAsia="思源黑体" w:cs="思源黑体"/>
          <w:sz w:val="16"/>
          <w:szCs w:val="16"/>
          <w:lang w:val="en-US" w:eastAsia="zh-CN"/>
        </w:rPr>
      </w:pPr>
    </w:p>
    <w:p w14:paraId="6D382FD6">
      <w:pPr>
        <w:rPr>
          <w:rFonts w:hint="eastAsia" w:ascii="思源黑体" w:hAnsi="思源黑体" w:eastAsia="思源黑体" w:cs="思源黑体"/>
          <w:sz w:val="16"/>
          <w:szCs w:val="16"/>
          <w:lang w:val="en-US" w:eastAsia="zh-CN"/>
        </w:rPr>
      </w:pPr>
    </w:p>
    <w:p w14:paraId="1EA04EEA">
      <w:pPr>
        <w:rPr>
          <w:rFonts w:hint="eastAsia" w:ascii="思源黑体" w:hAnsi="思源黑体" w:eastAsia="思源黑体" w:cs="思源黑体"/>
          <w:sz w:val="16"/>
          <w:szCs w:val="16"/>
          <w:lang w:val="en-US" w:eastAsia="zh-CN"/>
        </w:rPr>
      </w:pPr>
    </w:p>
    <w:bookmarkEnd w:id="18"/>
    <w:bookmarkEnd w:id="19"/>
    <w:bookmarkEnd w:id="20"/>
    <w:p w14:paraId="258DEDE4">
      <w:pPr>
        <w:pStyle w:val="2"/>
        <w:bidi w:val="0"/>
        <w:rPr>
          <w:rFonts w:hint="eastAsia"/>
        </w:rPr>
      </w:pPr>
      <w:bookmarkStart w:id="22" w:name="_Toc13375"/>
      <w:bookmarkStart w:id="23" w:name="_Toc20308"/>
      <w:r>
        <w:rPr>
          <w:rFonts w:hint="eastAsia"/>
        </w:rPr>
        <w:t>四、安装</w:t>
      </w:r>
      <w:bookmarkEnd w:id="22"/>
      <w:bookmarkEnd w:id="23"/>
    </w:p>
    <w:p w14:paraId="041C142C">
      <w:pPr>
        <w:pStyle w:val="3"/>
        <w:pageBreakBefore w:val="0"/>
        <w:widowControl w:val="0"/>
        <w:kinsoku/>
        <w:wordWrap/>
        <w:overflowPunct/>
        <w:topLinePunct w:val="0"/>
        <w:autoSpaceDE/>
        <w:autoSpaceDN/>
        <w:bidi w:val="0"/>
        <w:spacing w:after="31" w:line="240" w:lineRule="exact"/>
        <w:textAlignment w:val="auto"/>
        <w:rPr>
          <w:rFonts w:hint="eastAsia" w:ascii="思源黑体" w:hAnsi="思源黑体" w:eastAsia="思源黑体" w:cs="思源黑体"/>
          <w:sz w:val="16"/>
          <w:szCs w:val="16"/>
        </w:rPr>
      </w:pPr>
      <w:bookmarkStart w:id="24" w:name="_Toc27"/>
      <w:bookmarkStart w:id="25" w:name="_Toc29806"/>
      <w:r>
        <w:rPr>
          <w:rFonts w:hint="eastAsia" w:ascii="宋体" w:hAnsi="宋体" w:eastAsia="宋体" w:cs="宋体"/>
          <w:sz w:val="16"/>
          <w:szCs w:val="16"/>
          <w:lang w:val="en-US" w:eastAsia="zh-CN"/>
        </w:rPr>
        <w:t>4.1</w:t>
      </w:r>
      <w:r>
        <w:rPr>
          <w:rFonts w:hint="eastAsia" w:ascii="宋体" w:hAnsi="宋体" w:eastAsia="宋体" w:cs="宋体"/>
          <w:sz w:val="16"/>
          <w:szCs w:val="16"/>
        </w:rPr>
        <w:t>安装方式：</w:t>
      </w:r>
      <w:bookmarkEnd w:id="24"/>
      <w:bookmarkEnd w:id="25"/>
      <w:r>
        <w:rPr>
          <w:rFonts w:hint="eastAsia" w:ascii="宋体" w:hAnsi="宋体" w:eastAsia="宋体" w:cs="宋体"/>
          <w:sz w:val="16"/>
          <w:szCs w:val="16"/>
        </w:rPr>
        <w:t xml:space="preserve"> </w:t>
      </w:r>
      <w:r>
        <w:rPr>
          <w:rFonts w:hint="eastAsia" w:ascii="思源黑体" w:hAnsi="思源黑体" w:eastAsia="思源黑体" w:cs="思源黑体"/>
          <w:sz w:val="16"/>
          <w:szCs w:val="16"/>
        </w:rPr>
        <w:t xml:space="preserve"> </w:t>
      </w:r>
    </w:p>
    <w:p w14:paraId="24C90F69">
      <w:pPr>
        <w:keepNext w:val="0"/>
        <w:keepLines w:val="0"/>
        <w:pageBreakBefore w:val="0"/>
        <w:widowControl w:val="0"/>
        <w:numPr>
          <w:ilvl w:val="0"/>
          <w:numId w:val="3"/>
        </w:numPr>
        <w:kinsoku/>
        <w:wordWrap/>
        <w:overflowPunct/>
        <w:topLinePunct w:val="0"/>
        <w:autoSpaceDE/>
        <w:autoSpaceDN/>
        <w:bidi w:val="0"/>
        <w:adjustRightInd/>
        <w:snapToGrid/>
        <w:spacing w:line="240" w:lineRule="exact"/>
        <w:ind w:left="283" w:leftChars="0" w:hanging="283" w:firstLineChars="0"/>
        <w:textAlignment w:val="auto"/>
        <w:rPr>
          <w:rFonts w:hint="eastAsia" w:ascii="宋体" w:hAnsi="宋体" w:eastAsia="宋体" w:cs="宋体"/>
          <w:sz w:val="16"/>
          <w:szCs w:val="16"/>
        </w:rPr>
      </w:pPr>
      <w:r>
        <w:rPr>
          <w:rFonts w:hint="eastAsia" w:ascii="宋体" w:hAnsi="宋体" w:eastAsia="宋体" w:cs="宋体"/>
          <w:sz w:val="16"/>
          <w:szCs w:val="16"/>
        </w:rPr>
        <w:t>探测器安装方式可采用抱管装、支架安装或贴壁安装，应确保安装牢固可靠。</w:t>
      </w:r>
    </w:p>
    <w:p w14:paraId="0ABBB928">
      <w:pPr>
        <w:keepNext w:val="0"/>
        <w:keepLines w:val="0"/>
        <w:pageBreakBefore w:val="0"/>
        <w:widowControl w:val="0"/>
        <w:kinsoku/>
        <w:wordWrap/>
        <w:overflowPunct/>
        <w:topLinePunct w:val="0"/>
        <w:autoSpaceDE/>
        <w:autoSpaceDN/>
        <w:bidi w:val="0"/>
        <w:adjustRightInd/>
        <w:snapToGrid/>
        <w:spacing w:line="240" w:lineRule="exact"/>
        <w:ind w:firstLine="0" w:firstLineChars="0"/>
        <w:textAlignment w:val="auto"/>
        <w:rPr>
          <w:rFonts w:hint="eastAsia" w:ascii="思源黑体" w:hAnsi="思源黑体" w:eastAsia="思源黑体" w:cs="思源黑体"/>
          <w:sz w:val="16"/>
          <w:szCs w:val="16"/>
        </w:rPr>
      </w:pPr>
      <w:r>
        <w:rPr>
          <w:rFonts w:hint="eastAsia" w:ascii="思源黑体" w:hAnsi="思源黑体" w:eastAsia="思源黑体" w:cs="思源黑体"/>
          <w:sz w:val="16"/>
          <w:szCs w:val="16"/>
        </w:rPr>
        <w:pict>
          <v:shape id="_x0000_s1032" o:spid="_x0000_s1032" o:spt="75" type="#_x0000_t75" style="position:absolute;left:0pt;margin-left:-15.55pt;margin-top:11.75pt;height:137pt;width:243.8pt;mso-wrap-distance-bottom:0pt;mso-wrap-distance-top:0pt;z-index:251659264;mso-width-relative:page;mso-height-relative:page;" o:ole="t" filled="f" o:preferrelative="t" stroked="f" coordsize="21600,21600">
            <v:path/>
            <v:fill on="f" focussize="0,0"/>
            <v:stroke on="f"/>
            <v:imagedata r:id="rId24" o:title=""/>
            <o:lock v:ext="edit" aspectratio="t"/>
            <w10:wrap type="topAndBottom"/>
          </v:shape>
          <o:OLEObject Type="Embed" ProgID="AutoCAD.Drawing.20" ShapeID="_x0000_s1032" DrawAspect="Content" ObjectID="_1468075726" r:id="rId23">
            <o:LockedField>false</o:LockedField>
          </o:OLEObject>
        </w:pict>
      </w:r>
    </w:p>
    <w:p w14:paraId="7603A87C">
      <w:pPr>
        <w:numPr>
          <w:ilvl w:val="0"/>
          <w:numId w:val="3"/>
        </w:numPr>
        <w:bidi w:val="0"/>
        <w:rPr>
          <w:rFonts w:hint="eastAsia"/>
        </w:rPr>
      </w:pPr>
      <w:r>
        <w:rPr>
          <w:rFonts w:hint="eastAsia"/>
        </w:rPr>
        <w:t>安装固定孔直径为：Φ8mm。</w:t>
      </w:r>
    </w:p>
    <w:p w14:paraId="1F75593D">
      <w:pPr>
        <w:numPr>
          <w:ilvl w:val="0"/>
          <w:numId w:val="3"/>
        </w:numPr>
        <w:bidi w:val="0"/>
        <w:rPr>
          <w:rFonts w:hint="eastAsia"/>
        </w:rPr>
      </w:pPr>
      <w:r>
        <w:rPr>
          <w:rFonts w:hint="eastAsia"/>
        </w:rPr>
        <w:t>安装固定孔间距见每个型号对应尺寸（安装定位孔尺寸）。</w:t>
      </w:r>
    </w:p>
    <w:p w14:paraId="797592BB">
      <w:pPr>
        <w:numPr>
          <w:ilvl w:val="0"/>
          <w:numId w:val="3"/>
        </w:numPr>
        <w:bidi w:val="0"/>
        <w:rPr>
          <w:rFonts w:hint="eastAsia"/>
        </w:rPr>
      </w:pPr>
      <w:r>
        <w:rPr>
          <w:rFonts w:hint="eastAsia"/>
        </w:rPr>
        <w:t>探测器安装时应使传感器朝下固定。</w:t>
      </w:r>
    </w:p>
    <w:p w14:paraId="5791B0D4">
      <w:pPr>
        <w:numPr>
          <w:ilvl w:val="0"/>
          <w:numId w:val="3"/>
        </w:numPr>
        <w:bidi w:val="0"/>
        <w:rPr>
          <w:rFonts w:hint="eastAsia"/>
        </w:rPr>
      </w:pPr>
      <w:r>
        <w:rPr>
          <w:rFonts w:hint="eastAsia"/>
        </w:rPr>
        <w:t>正确连线后，应完全紧固好探测器外盖，以达到防爆要求。</w:t>
      </w:r>
    </w:p>
    <w:p w14:paraId="76BB1935">
      <w:pPr>
        <w:widowControl w:val="0"/>
        <w:numPr>
          <w:numId w:val="0"/>
        </w:numPr>
        <w:bidi w:val="0"/>
        <w:spacing w:line="240" w:lineRule="exact"/>
        <w:jc w:val="both"/>
        <w:rPr>
          <w:rFonts w:hint="eastAsia"/>
        </w:rPr>
      </w:pPr>
    </w:p>
    <w:p w14:paraId="73B3CC86">
      <w:pPr>
        <w:widowControl w:val="0"/>
        <w:numPr>
          <w:numId w:val="0"/>
        </w:numPr>
        <w:bidi w:val="0"/>
        <w:spacing w:line="240" w:lineRule="exact"/>
        <w:jc w:val="both"/>
        <w:rPr>
          <w:rFonts w:hint="eastAsia"/>
        </w:rPr>
      </w:pPr>
    </w:p>
    <w:p w14:paraId="1B3A21F5">
      <w:pPr>
        <w:widowControl w:val="0"/>
        <w:numPr>
          <w:numId w:val="0"/>
        </w:numPr>
        <w:bidi w:val="0"/>
        <w:spacing w:line="240" w:lineRule="exact"/>
        <w:jc w:val="both"/>
        <w:rPr>
          <w:rFonts w:hint="eastAsia"/>
        </w:rPr>
      </w:pPr>
    </w:p>
    <w:p w14:paraId="56753678">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textAlignment w:val="auto"/>
        <w:rPr>
          <w:rFonts w:hint="eastAsia" w:ascii="思源黑体" w:hAnsi="思源黑体" w:eastAsia="思源黑体" w:cs="思源黑体"/>
          <w:sz w:val="16"/>
          <w:szCs w:val="16"/>
        </w:rPr>
      </w:pPr>
    </w:p>
    <w:p w14:paraId="7759BA62">
      <w:pPr>
        <w:pStyle w:val="3"/>
        <w:bidi w:val="0"/>
        <w:rPr>
          <w:rFonts w:hint="eastAsia"/>
        </w:rPr>
      </w:pPr>
      <w:bookmarkStart w:id="26" w:name="_Toc12862"/>
      <w:bookmarkStart w:id="27" w:name="_Toc25601"/>
      <w:r>
        <w:rPr>
          <w:rFonts w:hint="eastAsia"/>
          <w:lang w:val="en-US" w:eastAsia="zh-CN"/>
        </w:rPr>
        <w:t>4.</w:t>
      </w:r>
      <w:r>
        <w:rPr>
          <w:rFonts w:hint="eastAsia"/>
        </w:rPr>
        <w:t>2</w:t>
      </w:r>
      <w:r>
        <w:rPr>
          <w:rFonts w:hint="eastAsia"/>
          <w:lang w:val="en-US" w:eastAsia="zh-CN"/>
        </w:rPr>
        <w:t xml:space="preserve"> </w:t>
      </w:r>
      <w:r>
        <w:rPr>
          <w:rFonts w:hint="eastAsia"/>
        </w:rPr>
        <w:t>接线说明：</w:t>
      </w:r>
      <w:bookmarkEnd w:id="26"/>
      <w:bookmarkEnd w:id="27"/>
    </w:p>
    <w:p w14:paraId="465B17B9">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r>
        <w:rPr>
          <w:rFonts w:hint="eastAsia" w:ascii="思源黑体" w:hAnsi="思源黑体" w:eastAsia="思源黑体" w:cs="思源黑体"/>
          <w:sz w:val="16"/>
          <w:szCs w:val="16"/>
        </w:rPr>
        <w:drawing>
          <wp:anchor distT="0" distB="0" distL="114300" distR="114300" simplePos="0" relativeHeight="251662336" behindDoc="0" locked="0" layoutInCell="1" allowOverlap="1">
            <wp:simplePos x="0" y="0"/>
            <wp:positionH relativeFrom="column">
              <wp:posOffset>147320</wp:posOffset>
            </wp:positionH>
            <wp:positionV relativeFrom="paragraph">
              <wp:posOffset>102870</wp:posOffset>
            </wp:positionV>
            <wp:extent cx="2257425" cy="1778635"/>
            <wp:effectExtent l="0" t="0" r="9525" b="1206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2257425" cy="1778635"/>
                    </a:xfrm>
                    <a:prstGeom prst="rect">
                      <a:avLst/>
                    </a:prstGeom>
                  </pic:spPr>
                </pic:pic>
              </a:graphicData>
            </a:graphic>
          </wp:anchor>
        </w:drawing>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55"/>
        <w:gridCol w:w="3324"/>
      </w:tblGrid>
      <w:tr w14:paraId="2F5CF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5BF84A00">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端子</w:t>
            </w:r>
          </w:p>
        </w:tc>
        <w:tc>
          <w:tcPr>
            <w:tcW w:w="3324" w:type="dxa"/>
            <w:vAlign w:val="top"/>
          </w:tcPr>
          <w:p w14:paraId="33D394E8">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说明</w:t>
            </w:r>
          </w:p>
        </w:tc>
      </w:tr>
      <w:tr w14:paraId="5B897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1EBB0D7F">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+24V</w:t>
            </w:r>
          </w:p>
        </w:tc>
        <w:tc>
          <w:tcPr>
            <w:tcW w:w="3324" w:type="dxa"/>
            <w:vAlign w:val="top"/>
          </w:tcPr>
          <w:p w14:paraId="17C0CEDE">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DC24V工作电压正极</w:t>
            </w:r>
          </w:p>
        </w:tc>
      </w:tr>
      <w:tr w14:paraId="08C7A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1321B668">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AO</w:t>
            </w:r>
          </w:p>
        </w:tc>
        <w:tc>
          <w:tcPr>
            <w:tcW w:w="3324" w:type="dxa"/>
            <w:vAlign w:val="top"/>
          </w:tcPr>
          <w:p w14:paraId="3CF21038">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4-20mA信号接线端</w:t>
            </w:r>
          </w:p>
        </w:tc>
      </w:tr>
      <w:tr w14:paraId="6BC4C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2BF15213">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GND</w:t>
            </w:r>
          </w:p>
        </w:tc>
        <w:tc>
          <w:tcPr>
            <w:tcW w:w="3324" w:type="dxa"/>
            <w:vAlign w:val="top"/>
          </w:tcPr>
          <w:p w14:paraId="768BFD54">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DC24V工作电压负极</w:t>
            </w:r>
          </w:p>
        </w:tc>
      </w:tr>
      <w:tr w14:paraId="1816A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153028F5">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drawing>
                <wp:anchor distT="0" distB="0" distL="114300" distR="114300" simplePos="0" relativeHeight="251661312" behindDoc="0" locked="0" layoutInCell="1" allowOverlap="1">
                  <wp:simplePos x="0" y="0"/>
                  <wp:positionH relativeFrom="column">
                    <wp:posOffset>252095</wp:posOffset>
                  </wp:positionH>
                  <wp:positionV relativeFrom="paragraph">
                    <wp:posOffset>29845</wp:posOffset>
                  </wp:positionV>
                  <wp:extent cx="114935" cy="93345"/>
                  <wp:effectExtent l="0" t="0" r="18415" b="190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6"/>
                          <a:stretch>
                            <a:fillRect/>
                          </a:stretch>
                        </pic:blipFill>
                        <pic:spPr>
                          <a:xfrm>
                            <a:off x="0" y="0"/>
                            <a:ext cx="114935" cy="93345"/>
                          </a:xfrm>
                          <a:prstGeom prst="rect">
                            <a:avLst/>
                          </a:prstGeom>
                        </pic:spPr>
                      </pic:pic>
                    </a:graphicData>
                  </a:graphic>
                </wp:anchor>
              </w:drawing>
            </w:r>
          </w:p>
        </w:tc>
        <w:tc>
          <w:tcPr>
            <w:tcW w:w="3324" w:type="dxa"/>
            <w:vAlign w:val="top"/>
          </w:tcPr>
          <w:p w14:paraId="0C6E36DD">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接地端子</w:t>
            </w:r>
          </w:p>
        </w:tc>
      </w:tr>
      <w:tr w14:paraId="00297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5282559A">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LED+</w:t>
            </w:r>
          </w:p>
        </w:tc>
        <w:tc>
          <w:tcPr>
            <w:tcW w:w="3324" w:type="dxa"/>
            <w:vAlign w:val="top"/>
          </w:tcPr>
          <w:p w14:paraId="1794810F">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DC24V警灯正极</w:t>
            </w:r>
          </w:p>
        </w:tc>
      </w:tr>
      <w:tr w14:paraId="02EEC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71218F46">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LED-</w:t>
            </w:r>
          </w:p>
        </w:tc>
        <w:tc>
          <w:tcPr>
            <w:tcW w:w="3324" w:type="dxa"/>
            <w:vAlign w:val="top"/>
          </w:tcPr>
          <w:p w14:paraId="551737B8">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DC24V警灯负极</w:t>
            </w:r>
          </w:p>
        </w:tc>
      </w:tr>
      <w:tr w14:paraId="2778C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4783B153">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NO1</w:t>
            </w:r>
          </w:p>
        </w:tc>
        <w:tc>
          <w:tcPr>
            <w:tcW w:w="3324" w:type="dxa"/>
            <w:vAlign w:val="top"/>
          </w:tcPr>
          <w:p w14:paraId="2EDAF7D9">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高报常开接线端</w:t>
            </w:r>
          </w:p>
        </w:tc>
      </w:tr>
      <w:tr w14:paraId="4C56A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48C81DE1">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COM1</w:t>
            </w:r>
          </w:p>
        </w:tc>
        <w:tc>
          <w:tcPr>
            <w:tcW w:w="3324" w:type="dxa"/>
            <w:vAlign w:val="top"/>
          </w:tcPr>
          <w:p w14:paraId="7FE5182B">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高报公共接线端</w:t>
            </w:r>
          </w:p>
        </w:tc>
      </w:tr>
      <w:tr w14:paraId="3A323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694BBA16">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NO2</w:t>
            </w:r>
          </w:p>
        </w:tc>
        <w:tc>
          <w:tcPr>
            <w:tcW w:w="3324" w:type="dxa"/>
            <w:vAlign w:val="top"/>
          </w:tcPr>
          <w:p w14:paraId="2829BBB2">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低报常开接线端</w:t>
            </w:r>
          </w:p>
        </w:tc>
      </w:tr>
      <w:tr w14:paraId="7784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5496A61D">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COM2</w:t>
            </w:r>
          </w:p>
        </w:tc>
        <w:tc>
          <w:tcPr>
            <w:tcW w:w="3324" w:type="dxa"/>
            <w:vAlign w:val="top"/>
          </w:tcPr>
          <w:p w14:paraId="597F9B9A">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低报公共接线端</w:t>
            </w:r>
          </w:p>
        </w:tc>
      </w:tr>
      <w:tr w14:paraId="6CC2C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4C8D422E">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NO3</w:t>
            </w:r>
          </w:p>
        </w:tc>
        <w:tc>
          <w:tcPr>
            <w:tcW w:w="3324" w:type="dxa"/>
            <w:vAlign w:val="top"/>
          </w:tcPr>
          <w:p w14:paraId="4B5F625A">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故障常开接线端</w:t>
            </w:r>
          </w:p>
        </w:tc>
      </w:tr>
      <w:tr w14:paraId="40F87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55" w:type="dxa"/>
            <w:vAlign w:val="top"/>
          </w:tcPr>
          <w:p w14:paraId="03E57C3F">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COM3</w:t>
            </w:r>
          </w:p>
        </w:tc>
        <w:tc>
          <w:tcPr>
            <w:tcW w:w="3324" w:type="dxa"/>
            <w:vAlign w:val="top"/>
          </w:tcPr>
          <w:p w14:paraId="6A96A6C8">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故障公共接线端</w:t>
            </w:r>
          </w:p>
        </w:tc>
      </w:tr>
    </w:tbl>
    <w:p w14:paraId="2A895B37">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77C4B23">
      <w:pPr>
        <w:pStyle w:val="3"/>
        <w:bidi w:val="0"/>
        <w:rPr>
          <w:rFonts w:hint="eastAsia"/>
        </w:rPr>
      </w:pPr>
      <w:bookmarkStart w:id="28" w:name="_Toc23710"/>
      <w:bookmarkStart w:id="29" w:name="_Toc15567"/>
      <w:r>
        <w:rPr>
          <w:rFonts w:hint="eastAsia"/>
          <w:lang w:val="en-US" w:eastAsia="zh-CN"/>
        </w:rPr>
        <w:t xml:space="preserve">4.3 </w:t>
      </w:r>
      <w:r>
        <w:rPr>
          <w:rFonts w:hint="eastAsia"/>
        </w:rPr>
        <w:t>安装原则：</w:t>
      </w:r>
      <w:bookmarkEnd w:id="28"/>
      <w:bookmarkEnd w:id="29"/>
    </w:p>
    <w:p w14:paraId="42A2B23F">
      <w:pPr>
        <w:numPr>
          <w:ilvl w:val="0"/>
          <w:numId w:val="3"/>
        </w:numPr>
        <w:bidi w:val="0"/>
        <w:rPr>
          <w:rFonts w:hint="eastAsia"/>
        </w:rPr>
      </w:pPr>
      <w:r>
        <w:rPr>
          <w:rFonts w:hint="eastAsia"/>
        </w:rPr>
        <w:t>检测可燃气体时，探测器探头应靠近释放源且在气体、蒸气易于聚集的地点。</w:t>
      </w:r>
    </w:p>
    <w:p w14:paraId="68023FBB">
      <w:pPr>
        <w:numPr>
          <w:ilvl w:val="0"/>
          <w:numId w:val="3"/>
        </w:numPr>
        <w:bidi w:val="0"/>
        <w:rPr>
          <w:rFonts w:hint="eastAsia"/>
        </w:rPr>
      </w:pPr>
      <w:r>
        <w:rPr>
          <w:rFonts w:hint="eastAsia"/>
        </w:rPr>
        <w:t>设置监测点时，应沿生产设施及储运设施区域周边按适宜的间隔布置可燃气探测器，或沿生产设施及储运设施区域周边设置线型气体探测器。</w:t>
      </w:r>
    </w:p>
    <w:p w14:paraId="5B8C8AE1">
      <w:pPr>
        <w:numPr>
          <w:ilvl w:val="0"/>
          <w:numId w:val="3"/>
        </w:numPr>
        <w:bidi w:val="0"/>
        <w:rPr>
          <w:rFonts w:hint="eastAsia"/>
        </w:rPr>
      </w:pPr>
      <w:r>
        <w:rPr>
          <w:rFonts w:hint="eastAsia"/>
        </w:rPr>
        <w:t>在生产过程能导致环境氧气浓度变化，出现欠氧、过氧的有人员进入活动的场所，应设置氧气探测器，当相关气体释放源为可燃气体时，氧气探测器可与相关的可燃气体探测器布置在一起。</w:t>
      </w:r>
    </w:p>
    <w:p w14:paraId="50D730D1">
      <w:pPr>
        <w:numPr>
          <w:ilvl w:val="0"/>
          <w:numId w:val="3"/>
        </w:numPr>
        <w:bidi w:val="0"/>
        <w:rPr>
          <w:rFonts w:hint="eastAsia"/>
        </w:rPr>
      </w:pPr>
      <w:r>
        <w:rPr>
          <w:rFonts w:hint="eastAsia"/>
        </w:rPr>
        <w:t xml:space="preserve">释放源处于露天或敞开式厂房布置的设备区域内，可燃气体探测器距其所覆盖范围内的任一释放源的水平距离不宜大于10m。 </w:t>
      </w:r>
    </w:p>
    <w:p w14:paraId="43F2984D">
      <w:pPr>
        <w:numPr>
          <w:ilvl w:val="0"/>
          <w:numId w:val="3"/>
        </w:numPr>
        <w:bidi w:val="0"/>
        <w:rPr>
          <w:rFonts w:hint="eastAsia"/>
        </w:rPr>
      </w:pPr>
      <w:r>
        <w:rPr>
          <w:rFonts w:hint="eastAsia"/>
        </w:rPr>
        <w:t xml:space="preserve">释放源处于封闭式厂房或局部通风不良的半敞开厂房内，可燃气体探测器距其所覆盖范围内的任一释放源的水平距离不宜大于5m。 </w:t>
      </w:r>
    </w:p>
    <w:p w14:paraId="473C6C17">
      <w:pPr>
        <w:numPr>
          <w:ilvl w:val="0"/>
          <w:numId w:val="3"/>
        </w:numPr>
        <w:bidi w:val="0"/>
        <w:rPr>
          <w:rFonts w:hint="eastAsia"/>
        </w:rPr>
      </w:pPr>
      <w:r>
        <w:rPr>
          <w:rFonts w:hint="eastAsia"/>
        </w:rPr>
        <w:t>比空气轻的可燃气体释放源处于封闭或局部通风不良的半敞开厂房内，除应在释放源上方设置探测器外，还应在厂房内最高点气体易于积聚处设置可燃气体。</w:t>
      </w:r>
    </w:p>
    <w:p w14:paraId="167C22D7">
      <w:pPr>
        <w:numPr>
          <w:ilvl w:val="0"/>
          <w:numId w:val="3"/>
        </w:numPr>
        <w:bidi w:val="0"/>
        <w:rPr>
          <w:rFonts w:hint="eastAsia"/>
        </w:rPr>
      </w:pPr>
      <w:r>
        <w:rPr>
          <w:rFonts w:hint="eastAsia"/>
        </w:rPr>
        <w:t>液化烃、甲B、乙A类液体等产生可燃气体的液体储运罐的防火堤内应设探测器。铁路装卸栈台，在地面上每一个车位宜设一台探测器且探测器与装卸车口的水平距离不应大于10m；汽车装卸站的装卸车鹤位与探测器的水平距离不应大于10m。</w:t>
      </w:r>
    </w:p>
    <w:p w14:paraId="3790E160">
      <w:pPr>
        <w:numPr>
          <w:ilvl w:val="0"/>
          <w:numId w:val="3"/>
        </w:numPr>
        <w:bidi w:val="0"/>
        <w:rPr>
          <w:rFonts w:hint="eastAsia"/>
        </w:rPr>
      </w:pPr>
      <w:r>
        <w:rPr>
          <w:rFonts w:hint="eastAsia"/>
        </w:rPr>
        <w:t xml:space="preserve">液化烃灌装站的探测器设置：封闭或半敞开的灌瓶间，灌装口与探测器的水平距离宜为5-7.5m；敞开式储瓶库房沿四周每隔10-20m，应设一台探测器，当四周边长总和小于10m时，应设一台探测器；缓冲罐排水口或阀组与探测器的水平距离宜为5-7.5m。 </w:t>
      </w:r>
    </w:p>
    <w:p w14:paraId="5A623937">
      <w:pPr>
        <w:numPr>
          <w:ilvl w:val="0"/>
          <w:numId w:val="3"/>
        </w:numPr>
        <w:bidi w:val="0"/>
        <w:rPr>
          <w:rFonts w:hint="eastAsia"/>
        </w:rPr>
      </w:pPr>
      <w:r>
        <w:rPr>
          <w:rFonts w:hint="eastAsia"/>
        </w:rPr>
        <w:t>可能散发可燃气体的装卸码头，距输油臂水平平面10m范围内，应设一台探测器。可燃气体探测器的有效覆盖水平半径，室内宜为7.5m；室外宜为10米。在有效覆盖面积内可设置一台探测器。</w:t>
      </w:r>
    </w:p>
    <w:p w14:paraId="73D27E8B">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textAlignment w:val="auto"/>
        <w:rPr>
          <w:rFonts w:hint="eastAsia" w:ascii="思源黑体" w:hAnsi="思源黑体" w:eastAsia="思源黑体" w:cs="思源黑体"/>
          <w:sz w:val="16"/>
          <w:szCs w:val="16"/>
        </w:rPr>
      </w:pPr>
    </w:p>
    <w:p w14:paraId="211F4AF6">
      <w:pPr>
        <w:pStyle w:val="3"/>
        <w:bidi w:val="0"/>
        <w:rPr>
          <w:rFonts w:hint="eastAsia"/>
        </w:rPr>
      </w:pPr>
      <w:bookmarkStart w:id="30" w:name="_Toc21845"/>
      <w:bookmarkStart w:id="31" w:name="_Toc12098"/>
      <w:r>
        <w:rPr>
          <w:rFonts w:hint="eastAsia"/>
          <w:lang w:val="en-US" w:eastAsia="zh-CN"/>
        </w:rPr>
        <w:t xml:space="preserve">4.4 </w:t>
      </w:r>
      <w:r>
        <w:rPr>
          <w:rFonts w:hint="eastAsia"/>
        </w:rPr>
        <w:t>操作说明：</w:t>
      </w:r>
      <w:bookmarkEnd w:id="30"/>
      <w:bookmarkEnd w:id="31"/>
    </w:p>
    <w:p w14:paraId="132E8AE3">
      <w:pPr>
        <w:bidi w:val="0"/>
        <w:rPr>
          <w:rFonts w:hint="eastAsia"/>
        </w:rPr>
      </w:pPr>
      <w:bookmarkStart w:id="32" w:name="_Toc3378667"/>
      <w:r>
        <w:rPr>
          <w:rFonts w:hint="eastAsia"/>
        </w:rPr>
        <w:t>本系列探测器可使用RA-IRRC02型红外遥控器进行参数设置。</w:t>
      </w:r>
    </w:p>
    <w:p w14:paraId="4A16DECB">
      <w:pPr>
        <w:bidi w:val="0"/>
        <w:rPr>
          <w:rFonts w:hint="eastAsia"/>
        </w:rPr>
      </w:pPr>
      <w:r>
        <w:rPr>
          <w:rFonts w:hint="eastAsia"/>
        </w:rPr>
        <w:t>遥控器说明及操作方法</w:t>
      </w:r>
    </w:p>
    <w:p w14:paraId="622681ED">
      <w:pPr>
        <w:bidi w:val="0"/>
        <w:rPr>
          <w:rFonts w:hint="eastAsia"/>
        </w:rPr>
      </w:pPr>
      <w:r>
        <w:rPr>
          <w:rFonts w:hint="eastAsia"/>
        </w:rPr>
        <w:t>RA-IRRC02型红外遥控器（以下简称：遥控器）与探测器</w:t>
      </w:r>
      <w:r>
        <w:rPr>
          <w:rFonts w:hint="eastAsia"/>
          <w:lang w:val="en-US" w:eastAsia="zh-CN"/>
        </w:rPr>
        <w:t>之间</w:t>
      </w:r>
      <w:r>
        <w:rPr>
          <w:rFonts w:hint="eastAsia"/>
        </w:rPr>
        <w:t>采用单向红外通讯，遥控器是发射端，探测器是接收端，探测器只能接收遥控器发出的信号。由于红外线具有反射、穿透等特性，因此在使用遥控器设定探测器参数时，尽量让遥控器对准要设定的探测器，避免其他探测器</w:t>
      </w:r>
      <w:r>
        <w:rPr>
          <w:rFonts w:hint="eastAsia"/>
          <w:lang w:val="en-US" w:eastAsia="zh-CN"/>
        </w:rPr>
        <w:t>受</w:t>
      </w:r>
      <w:r>
        <w:rPr>
          <w:rFonts w:hint="eastAsia"/>
        </w:rPr>
        <w:t>到影响，遥控范围应在探测器红外接收光柱±60°内，距离＜3米。</w:t>
      </w:r>
    </w:p>
    <w:p w14:paraId="7A4A0C79">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24247CE8">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49330AD1">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1CE9E550">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16EC8A18">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10A17A70">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5904ACB9">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p w14:paraId="55884A36">
      <w:pPr>
        <w:pageBreakBefore w:val="0"/>
        <w:widowControl w:val="0"/>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spacing w:line="240" w:lineRule="exact"/>
        <w:ind w:firstLine="320" w:firstLineChars="200"/>
        <w:textAlignment w:val="auto"/>
        <w:rPr>
          <w:rFonts w:hint="eastAsia" w:ascii="思源黑体" w:hAnsi="思源黑体" w:eastAsia="思源黑体" w:cs="思源黑体"/>
          <w:sz w:val="16"/>
          <w:szCs w:val="16"/>
        </w:rPr>
      </w:pPr>
    </w:p>
    <w:tbl>
      <w:tblPr>
        <w:tblStyle w:val="13"/>
        <w:tblW w:w="4997" w:type="pct"/>
        <w:tblInd w:w="0" w:type="dxa"/>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Layout w:type="autofit"/>
        <w:tblCellMar>
          <w:top w:w="0" w:type="dxa"/>
          <w:left w:w="85" w:type="dxa"/>
          <w:bottom w:w="0" w:type="dxa"/>
          <w:right w:w="85" w:type="dxa"/>
        </w:tblCellMar>
      </w:tblPr>
      <w:tblGrid>
        <w:gridCol w:w="833"/>
        <w:gridCol w:w="770"/>
        <w:gridCol w:w="853"/>
        <w:gridCol w:w="656"/>
        <w:gridCol w:w="1364"/>
      </w:tblGrid>
      <w:tr w14:paraId="309D261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331" w:hRule="atLeast"/>
        </w:trPr>
        <w:tc>
          <w:tcPr>
            <w:tcW w:w="2708" w:type="pct"/>
            <w:gridSpan w:val="3"/>
            <w:vAlign w:val="center"/>
          </w:tcPr>
          <w:p w14:paraId="4D262C75">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图  片</w:t>
            </w:r>
          </w:p>
        </w:tc>
        <w:tc>
          <w:tcPr>
            <w:tcW w:w="751" w:type="pct"/>
            <w:vAlign w:val="center"/>
          </w:tcPr>
          <w:p w14:paraId="08B0E201">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项目</w:t>
            </w:r>
          </w:p>
        </w:tc>
        <w:tc>
          <w:tcPr>
            <w:tcW w:w="1540" w:type="pct"/>
            <w:vAlign w:val="center"/>
          </w:tcPr>
          <w:p w14:paraId="5ED417A3">
            <w:pPr>
              <w:pStyle w:val="7"/>
              <w:keepNext w:val="0"/>
              <w:keepLines w:val="0"/>
              <w:pageBreakBefore w:val="0"/>
              <w:widowControl w:val="0"/>
              <w:kinsoku/>
              <w:wordWrap/>
              <w:overflowPunct/>
              <w:topLinePunct w:val="0"/>
              <w:autoSpaceDE/>
              <w:autoSpaceDN/>
              <w:bidi w:val="0"/>
              <w:adjustRightInd/>
              <w:snapToGrid/>
              <w:spacing w:line="220" w:lineRule="exact"/>
              <w:textAlignment w:val="auto"/>
              <w:rPr>
                <w:rFonts w:hint="eastAsia"/>
              </w:rPr>
            </w:pPr>
            <w:r>
              <w:rPr>
                <w:rFonts w:hint="eastAsia"/>
              </w:rPr>
              <w:t>描述</w:t>
            </w:r>
          </w:p>
        </w:tc>
      </w:tr>
      <w:tr w14:paraId="51267180">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277" w:hRule="atLeast"/>
        </w:trPr>
        <w:tc>
          <w:tcPr>
            <w:tcW w:w="2708" w:type="pct"/>
            <w:gridSpan w:val="3"/>
            <w:vMerge w:val="restart"/>
          </w:tcPr>
          <w:p w14:paraId="0AC38BC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drawing>
                <wp:anchor distT="0" distB="0" distL="114300" distR="114300" simplePos="0" relativeHeight="251660288" behindDoc="1" locked="0" layoutInCell="1" allowOverlap="1">
                  <wp:simplePos x="0" y="0"/>
                  <wp:positionH relativeFrom="column">
                    <wp:posOffset>168275</wp:posOffset>
                  </wp:positionH>
                  <wp:positionV relativeFrom="paragraph">
                    <wp:posOffset>71755</wp:posOffset>
                  </wp:positionV>
                  <wp:extent cx="1140460" cy="2745105"/>
                  <wp:effectExtent l="0" t="0" r="2540" b="17145"/>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40460" cy="2745105"/>
                          </a:xfrm>
                          <a:prstGeom prst="rect">
                            <a:avLst/>
                          </a:prstGeom>
                        </pic:spPr>
                      </pic:pic>
                    </a:graphicData>
                  </a:graphic>
                </wp:anchor>
              </w:drawing>
            </w:r>
          </w:p>
          <w:p w14:paraId="62C953D9">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tcPr>
          <w:p w14:paraId="17E338ED">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功能</w:t>
            </w:r>
          </w:p>
        </w:tc>
        <w:tc>
          <w:tcPr>
            <w:tcW w:w="1540" w:type="pct"/>
          </w:tcPr>
          <w:p w14:paraId="1AA0DF52">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功能选择/返回</w:t>
            </w:r>
          </w:p>
        </w:tc>
      </w:tr>
      <w:tr w14:paraId="3B5551A4">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343" w:hRule="atLeast"/>
        </w:trPr>
        <w:tc>
          <w:tcPr>
            <w:tcW w:w="2708" w:type="pct"/>
            <w:gridSpan w:val="3"/>
            <w:vMerge w:val="continue"/>
          </w:tcPr>
          <w:p w14:paraId="6F77DEE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vAlign w:val="center"/>
          </w:tcPr>
          <w:p w14:paraId="16AA7315">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确认</w:t>
            </w:r>
          </w:p>
        </w:tc>
        <w:tc>
          <w:tcPr>
            <w:tcW w:w="1540" w:type="pct"/>
            <w:vAlign w:val="center"/>
          </w:tcPr>
          <w:p w14:paraId="665A6465">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确认</w:t>
            </w:r>
          </w:p>
        </w:tc>
      </w:tr>
      <w:tr w14:paraId="7E2B4F02">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277" w:hRule="atLeast"/>
        </w:trPr>
        <w:tc>
          <w:tcPr>
            <w:tcW w:w="2708" w:type="pct"/>
            <w:gridSpan w:val="3"/>
            <w:vMerge w:val="continue"/>
          </w:tcPr>
          <w:p w14:paraId="27EB2D8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vAlign w:val="center"/>
          </w:tcPr>
          <w:p w14:paraId="364F7671">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drawing>
                <wp:inline distT="0" distB="0" distL="0" distR="0">
                  <wp:extent cx="119380" cy="1193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1540" w:type="pct"/>
            <w:vAlign w:val="center"/>
          </w:tcPr>
          <w:p w14:paraId="0A506245">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位选（左移位）</w:t>
            </w:r>
          </w:p>
        </w:tc>
      </w:tr>
      <w:tr w14:paraId="368054CF">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238" w:hRule="atLeast"/>
        </w:trPr>
        <w:tc>
          <w:tcPr>
            <w:tcW w:w="2708" w:type="pct"/>
            <w:gridSpan w:val="3"/>
            <w:vMerge w:val="continue"/>
          </w:tcPr>
          <w:p w14:paraId="683B3A1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vAlign w:val="center"/>
          </w:tcPr>
          <w:p w14:paraId="7F70A17E">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drawing>
                <wp:inline distT="0" distB="0" distL="0" distR="0">
                  <wp:extent cx="119380" cy="1193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1540" w:type="pct"/>
            <w:vAlign w:val="center"/>
          </w:tcPr>
          <w:p w14:paraId="63D8FF91">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位选（右移位）</w:t>
            </w:r>
          </w:p>
        </w:tc>
      </w:tr>
      <w:tr w14:paraId="2EA0A1E1">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201" w:hRule="atLeast"/>
        </w:trPr>
        <w:tc>
          <w:tcPr>
            <w:tcW w:w="2708" w:type="pct"/>
            <w:gridSpan w:val="3"/>
            <w:vMerge w:val="continue"/>
          </w:tcPr>
          <w:p w14:paraId="2FF6F664">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vAlign w:val="center"/>
          </w:tcPr>
          <w:p w14:paraId="5CAFB10F">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w:t>
            </w:r>
          </w:p>
        </w:tc>
        <w:tc>
          <w:tcPr>
            <w:tcW w:w="1540" w:type="pct"/>
            <w:vAlign w:val="center"/>
          </w:tcPr>
          <w:p w14:paraId="6DCD0448">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位值增加</w:t>
            </w:r>
          </w:p>
        </w:tc>
      </w:tr>
      <w:tr w14:paraId="6316513A">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304" w:hRule="atLeast"/>
        </w:trPr>
        <w:tc>
          <w:tcPr>
            <w:tcW w:w="2708" w:type="pct"/>
            <w:gridSpan w:val="3"/>
            <w:vMerge w:val="continue"/>
          </w:tcPr>
          <w:p w14:paraId="4409281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vAlign w:val="center"/>
          </w:tcPr>
          <w:p w14:paraId="71E0A134">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w:t>
            </w:r>
          </w:p>
        </w:tc>
        <w:tc>
          <w:tcPr>
            <w:tcW w:w="1540" w:type="pct"/>
            <w:vAlign w:val="center"/>
          </w:tcPr>
          <w:p w14:paraId="27E7F43A">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位值减小</w:t>
            </w:r>
          </w:p>
        </w:tc>
      </w:tr>
      <w:tr w14:paraId="512BD658">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363" w:hRule="atLeast"/>
        </w:trPr>
        <w:tc>
          <w:tcPr>
            <w:tcW w:w="2708" w:type="pct"/>
            <w:gridSpan w:val="3"/>
            <w:vMerge w:val="continue"/>
          </w:tcPr>
          <w:p w14:paraId="00CB081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51" w:type="pct"/>
            <w:tcBorders>
              <w:bottom w:val="single" w:color="auto" w:sz="4" w:space="0"/>
            </w:tcBorders>
            <w:vAlign w:val="center"/>
          </w:tcPr>
          <w:p w14:paraId="68E84FFC">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1</w:t>
            </w:r>
          </w:p>
        </w:tc>
        <w:tc>
          <w:tcPr>
            <w:tcW w:w="1540" w:type="pct"/>
            <w:tcBorders>
              <w:bottom w:val="single" w:color="auto" w:sz="4" w:space="0"/>
            </w:tcBorders>
            <w:vAlign w:val="center"/>
          </w:tcPr>
          <w:p w14:paraId="18442011">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红外发射管</w:t>
            </w:r>
          </w:p>
        </w:tc>
      </w:tr>
      <w:tr w14:paraId="2FA6DE18">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trHeight w:val="2673" w:hRule="atLeast"/>
        </w:trPr>
        <w:tc>
          <w:tcPr>
            <w:tcW w:w="2708" w:type="pct"/>
            <w:gridSpan w:val="3"/>
            <w:vMerge w:val="continue"/>
          </w:tcPr>
          <w:p w14:paraId="0690CD9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2291" w:type="pct"/>
            <w:gridSpan w:val="2"/>
            <w:tcBorders>
              <w:top w:val="single" w:color="auto" w:sz="4" w:space="0"/>
            </w:tcBorders>
          </w:tcPr>
          <w:p w14:paraId="57433EBB">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注意：1、按功能键开机，遥控器进入输入密码的初始状态，无任何操作60秒后自动关机！</w:t>
            </w:r>
          </w:p>
          <w:p w14:paraId="0B8B6B76">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2、进行功能设定时，遥控器需正对探测器红外接收光柱±60°进行操作。</w:t>
            </w:r>
          </w:p>
          <w:p w14:paraId="03D202D7">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3、当遥控器电池电量低，进行功能确认时，退出当前界面，回到四个0的初始状态，此时可能确认失败，需更换电池，重新操作。</w:t>
            </w:r>
          </w:p>
        </w:tc>
      </w:tr>
      <w:tr w14:paraId="05ED4A44">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1AAAB43F">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参数</w:t>
            </w:r>
          </w:p>
          <w:p w14:paraId="547BA9C7">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设置</w:t>
            </w:r>
          </w:p>
        </w:tc>
        <w:tc>
          <w:tcPr>
            <w:tcW w:w="789" w:type="pct"/>
            <w:vAlign w:val="center"/>
          </w:tcPr>
          <w:p w14:paraId="13F1D0E4">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密码</w:t>
            </w:r>
          </w:p>
        </w:tc>
        <w:tc>
          <w:tcPr>
            <w:tcW w:w="3262" w:type="pct"/>
            <w:gridSpan w:val="3"/>
            <w:vAlign w:val="center"/>
          </w:tcPr>
          <w:p w14:paraId="0444BACA">
            <w:pPr>
              <w:pStyle w:val="7"/>
              <w:keepNext w:val="0"/>
              <w:keepLines w:val="0"/>
              <w:pageBreakBefore w:val="0"/>
              <w:widowControl w:val="0"/>
              <w:kinsoku/>
              <w:wordWrap/>
              <w:overflowPunct/>
              <w:topLinePunct w:val="0"/>
              <w:autoSpaceDE/>
              <w:autoSpaceDN/>
              <w:bidi w:val="0"/>
              <w:adjustRightInd/>
              <w:snapToGrid/>
              <w:spacing w:line="220" w:lineRule="exact"/>
              <w:jc w:val="center"/>
              <w:textAlignment w:val="auto"/>
              <w:rPr>
                <w:rFonts w:hint="eastAsia"/>
              </w:rPr>
            </w:pPr>
            <w:r>
              <w:rPr>
                <w:rFonts w:hint="eastAsia"/>
              </w:rPr>
              <w:t>操作步骤</w:t>
            </w:r>
          </w:p>
        </w:tc>
      </w:tr>
      <w:tr w14:paraId="4F8CC5F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18FF7C7E">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“地址”</w:t>
            </w:r>
          </w:p>
          <w:p w14:paraId="4C20B501">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“低报”</w:t>
            </w:r>
          </w:p>
          <w:p w14:paraId="121A1E5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“高报”</w:t>
            </w:r>
          </w:p>
          <w:p w14:paraId="6D52668B">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p w14:paraId="4A61F47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89" w:type="pct"/>
          </w:tcPr>
          <w:p w14:paraId="68191F4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“1000”</w:t>
            </w:r>
          </w:p>
        </w:tc>
        <w:tc>
          <w:tcPr>
            <w:tcW w:w="3262" w:type="pct"/>
            <w:gridSpan w:val="3"/>
          </w:tcPr>
          <w:p w14:paraId="3E785B67">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 按“确认”键 … …</w:t>
            </w:r>
          </w:p>
          <w:p w14:paraId="6938B35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 xml:space="preserve"> “</w:t>
            </w:r>
            <w:r>
              <w:rPr>
                <w:rFonts w:hint="eastAsia"/>
              </w:rPr>
              <w:drawing>
                <wp:inline distT="0" distB="0" distL="0" distR="0">
                  <wp:extent cx="63500" cy="76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”键位选，选择相应功能，“▼”、“▲”调整设定值 … …</w:t>
            </w:r>
          </w:p>
          <w:p w14:paraId="1845A386">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“地址”：当前探测器的地址</w:t>
            </w:r>
          </w:p>
          <w:p w14:paraId="50554814">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“低报”：当前探测器的低限报警值</w:t>
            </w:r>
          </w:p>
          <w:p w14:paraId="58FB9CB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“高报”：当前探测器的高限报警值</w:t>
            </w:r>
          </w:p>
          <w:p w14:paraId="47E1D61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按“确定”键，LCD型探测器显示“good” 绿色指示灯闪烁3次/LED型探测器绿色指示灯闪烁3次，设定成功数据存储！</w:t>
            </w:r>
          </w:p>
          <w:p w14:paraId="4B30FA14">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LCD型探测器显示“err” 黄色指示灯闪烁3次/LED型探测器黄色指示灯闪烁3次，设置失败！</w:t>
            </w:r>
          </w:p>
          <w:p w14:paraId="599EF88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按“功能”键退出设定模式，再按“功能”键回到初始状态。</w:t>
            </w:r>
          </w:p>
        </w:tc>
      </w:tr>
      <w:tr w14:paraId="278ABFAB">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3778030E">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“消音”</w:t>
            </w:r>
          </w:p>
        </w:tc>
        <w:tc>
          <w:tcPr>
            <w:tcW w:w="789" w:type="pct"/>
          </w:tcPr>
          <w:p w14:paraId="6AD5D09D">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“1000”</w:t>
            </w:r>
          </w:p>
        </w:tc>
        <w:tc>
          <w:tcPr>
            <w:tcW w:w="3262" w:type="pct"/>
            <w:gridSpan w:val="3"/>
          </w:tcPr>
          <w:p w14:paraId="692CFCD0">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探测器连接警灯报警</w:t>
            </w:r>
          </w:p>
          <w:p w14:paraId="313EE4E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 按“确认”键 … …</w:t>
            </w:r>
          </w:p>
          <w:p w14:paraId="0C4E2596">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w:t>
            </w:r>
            <w:r>
              <w:rPr>
                <w:rFonts w:hint="eastAsia"/>
              </w:rPr>
              <w:drawing>
                <wp:inline distT="0" distB="0" distL="0" distR="0">
                  <wp:extent cx="63500" cy="76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”键位选，选择“消音”功能，按“确认”键，警灯消音</w:t>
            </w:r>
          </w:p>
          <w:p w14:paraId="1A81834D">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按“功能”键退出“消音”模式，再按“功能”键回到初始状态。</w:t>
            </w:r>
          </w:p>
        </w:tc>
      </w:tr>
      <w:tr w14:paraId="4C2B3ACA">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45B2F27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“读取”</w:t>
            </w:r>
          </w:p>
          <w:p w14:paraId="2D34CC0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p w14:paraId="51FDE770">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p>
        </w:tc>
        <w:tc>
          <w:tcPr>
            <w:tcW w:w="789" w:type="pct"/>
          </w:tcPr>
          <w:p w14:paraId="2CCF521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“1000”</w:t>
            </w:r>
          </w:p>
        </w:tc>
        <w:tc>
          <w:tcPr>
            <w:tcW w:w="3262" w:type="pct"/>
            <w:gridSpan w:val="3"/>
          </w:tcPr>
          <w:p w14:paraId="52AC106D">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 按“确认”键 … …</w:t>
            </w:r>
          </w:p>
          <w:p w14:paraId="05EAC60D">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w:t>
            </w:r>
            <w:r>
              <w:rPr>
                <w:rFonts w:hint="eastAsia"/>
              </w:rPr>
              <w:drawing>
                <wp:inline distT="0" distB="0" distL="0" distR="0">
                  <wp:extent cx="63500" cy="76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”键位选，选择 “读取”功能，LCD型探测器显示存储信息（地址、报警点、零点值、跨度值、标定时的信号变化量）</w:t>
            </w:r>
          </w:p>
          <w:p w14:paraId="66E2EF07">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按“功能”键退出“读取”模式，再按“功能”键回到初始状态。</w:t>
            </w:r>
          </w:p>
          <w:p w14:paraId="1DA41877">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eastAsia="思源黑体"/>
                <w:lang w:eastAsia="zh-CN"/>
              </w:rPr>
            </w:pPr>
            <w:r>
              <w:rPr>
                <w:rFonts w:hint="eastAsia"/>
              </w:rPr>
              <w:t>本项功能只适用于LCD型探测器</w:t>
            </w:r>
            <w:r>
              <w:rPr>
                <w:rFonts w:hint="eastAsia"/>
                <w:lang w:eastAsia="zh-CN"/>
              </w:rPr>
              <w:t>。</w:t>
            </w:r>
          </w:p>
        </w:tc>
      </w:tr>
      <w:tr w14:paraId="5A9325AB">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061F6FA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“校零”</w:t>
            </w:r>
          </w:p>
          <w:p w14:paraId="059F09E1">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“跨度”</w:t>
            </w:r>
          </w:p>
          <w:p w14:paraId="71D1DAA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“标定”</w:t>
            </w:r>
          </w:p>
        </w:tc>
        <w:tc>
          <w:tcPr>
            <w:tcW w:w="789" w:type="pct"/>
          </w:tcPr>
          <w:p w14:paraId="15BBFD6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“2000”</w:t>
            </w:r>
          </w:p>
        </w:tc>
        <w:tc>
          <w:tcPr>
            <w:tcW w:w="3262" w:type="pct"/>
            <w:gridSpan w:val="3"/>
          </w:tcPr>
          <w:p w14:paraId="5AA54BDC">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 xml:space="preserve">按“功能”键  》》  输入密码 - - - -  》》 按“确认”键 … … </w:t>
            </w:r>
          </w:p>
          <w:p w14:paraId="4AAA9C3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w:t>
            </w:r>
            <w:r>
              <w:rPr>
                <w:rFonts w:hint="eastAsia"/>
              </w:rPr>
              <w:drawing>
                <wp:inline distT="0" distB="0" distL="0" distR="0">
                  <wp:extent cx="63500" cy="762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 xml:space="preserve">”键位选， </w:t>
            </w:r>
          </w:p>
          <w:p w14:paraId="58F904DB">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校零：（探测器校零）</w:t>
            </w:r>
          </w:p>
          <w:p w14:paraId="49B629E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选择“校零”功能，按下“确认”键，LCD型探测器显示“good” 绿色指示灯闪烁3次/LED型探测器绿色指示灯闪烁3次，校零成功！</w:t>
            </w:r>
          </w:p>
          <w:p w14:paraId="2DC5122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跨度：（标气浓度）</w:t>
            </w:r>
          </w:p>
          <w:p w14:paraId="2D017990">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eastAsia="思源黑体"/>
                <w:lang w:eastAsia="zh-CN"/>
              </w:rPr>
            </w:pPr>
            <w:r>
              <w:rPr>
                <w:rFonts w:hint="eastAsia"/>
              </w:rPr>
              <w:t>选择“跨度”功能，输入跨度值（标定时的气体浓度值）- - - -   》》  按下“确认”键，LCD型探测器显示“good” 绿色指示灯闪烁3次/LED型探测器绿色指示灯闪烁3次，跨度值设置成功</w:t>
            </w:r>
            <w:r>
              <w:rPr>
                <w:rFonts w:hint="eastAsia"/>
                <w:lang w:eastAsia="zh-CN"/>
              </w:rPr>
              <w:t>！</w:t>
            </w:r>
          </w:p>
          <w:p w14:paraId="4288A5E1">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标定：（气体标定）</w:t>
            </w:r>
            <w:bookmarkStart w:id="33" w:name="_Hlk533409212"/>
            <w:r>
              <w:rPr>
                <w:rFonts w:hint="eastAsia"/>
              </w:rPr>
              <w:t>(检定流量：800mL/min)</w:t>
            </w:r>
          </w:p>
          <w:bookmarkEnd w:id="33"/>
          <w:p w14:paraId="47ADB1F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选择“标定”功能，通入标气  》》  数值稳定后（不带显示大约2分钟）》》按下“确认”键，LCD型探测器显示“good” 绿色指示灯闪烁3次/LED型探测器绿色指示灯闪烁3次，标定成功，关闭气源！</w:t>
            </w:r>
          </w:p>
          <w:p w14:paraId="7E676AA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按“功能”键退出，再按“功能”键回到初始状态。</w:t>
            </w:r>
          </w:p>
        </w:tc>
      </w:tr>
      <w:tr w14:paraId="2A72D18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38EA9DEB">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“4mA PWM值”</w:t>
            </w:r>
          </w:p>
        </w:tc>
        <w:tc>
          <w:tcPr>
            <w:tcW w:w="789" w:type="pct"/>
          </w:tcPr>
          <w:p w14:paraId="481AA7C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“0004”</w:t>
            </w:r>
          </w:p>
        </w:tc>
        <w:tc>
          <w:tcPr>
            <w:tcW w:w="3262" w:type="pct"/>
            <w:gridSpan w:val="3"/>
          </w:tcPr>
          <w:p w14:paraId="2365ED61">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》》按“确认”键… …</w:t>
            </w:r>
          </w:p>
          <w:p w14:paraId="238389B9">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w:t>
            </w:r>
            <w:r>
              <w:rPr>
                <w:rFonts w:hint="eastAsia"/>
              </w:rPr>
              <w:drawing>
                <wp:inline distT="0" distB="0" distL="0" distR="0">
                  <wp:extent cx="63500" cy="76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 键位选，选择调整1mA、0.1mA、0.01mA, “▼”、“▲”增大或减小需要调整的值，LCD型探测器显示“good” 绿色指示灯闪烁3次/LED型探测器绿色指示灯闪烁3次，设定成功数据存储！</w:t>
            </w:r>
          </w:p>
          <w:p w14:paraId="186FED33">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LCD型探测器显示“err” 黄色指示灯闪烁3次/LED型探测器黄色指示灯闪烁3次，参数设置错误！</w:t>
            </w:r>
          </w:p>
          <w:p w14:paraId="07143FA9">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按“功能”键退出设定模式，再按“功能”键回到初始状态。</w:t>
            </w:r>
          </w:p>
        </w:tc>
      </w:tr>
      <w:tr w14:paraId="3ABA3FE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70C0F9CB">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“20mA PWM值”</w:t>
            </w:r>
          </w:p>
        </w:tc>
        <w:tc>
          <w:tcPr>
            <w:tcW w:w="789" w:type="pct"/>
          </w:tcPr>
          <w:p w14:paraId="426FD836">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“0020”</w:t>
            </w:r>
          </w:p>
        </w:tc>
        <w:tc>
          <w:tcPr>
            <w:tcW w:w="3262" w:type="pct"/>
            <w:gridSpan w:val="3"/>
          </w:tcPr>
          <w:p w14:paraId="0582BC7F">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》》按“确认”键… …</w:t>
            </w:r>
          </w:p>
          <w:p w14:paraId="7F23BB97">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w:t>
            </w:r>
            <w:r>
              <w:rPr>
                <w:rFonts w:hint="eastAsia"/>
              </w:rPr>
              <w:drawing>
                <wp:inline distT="0" distB="0" distL="0" distR="0">
                  <wp:extent cx="63500" cy="76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rPr>
              <w:t>”、“</w:t>
            </w:r>
            <w:r>
              <w:rPr>
                <w:rFonts w:hint="eastAsia"/>
              </w:rPr>
              <w:drawing>
                <wp:inline distT="0" distB="0" distL="0" distR="0">
                  <wp:extent cx="76200" cy="762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rPr>
              <w:t>” 键位选，选择调整0.1mA、0.01mA, “▼”、“▲”增大或减小需要调整的值，LCD型探测器显示“good” 绿色指示灯闪烁3次/LED型探测器绿色指示灯闪烁3次，设定成功数据存储！</w:t>
            </w:r>
          </w:p>
          <w:p w14:paraId="268EA82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LCD型探测器显示“err” 黄色指示灯闪烁3次/LED型探测器黄色指示灯闪烁3次，参数设置错误！</w:t>
            </w:r>
          </w:p>
          <w:p w14:paraId="3E1FB61E">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按“功能”键退出设定模式，再按“功能”键回到初始状态。</w:t>
            </w:r>
          </w:p>
        </w:tc>
      </w:tr>
      <w:tr w14:paraId="24879636">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85" w:type="dxa"/>
            <w:bottom w:w="0" w:type="dxa"/>
            <w:right w:w="85" w:type="dxa"/>
          </w:tblCellMar>
        </w:tblPrEx>
        <w:trPr>
          <w:jc w:val="center"/>
        </w:trPr>
        <w:tc>
          <w:tcPr>
            <w:tcW w:w="948" w:type="pct"/>
          </w:tcPr>
          <w:p w14:paraId="55EC1259">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“查询实时AD值”</w:t>
            </w:r>
          </w:p>
        </w:tc>
        <w:tc>
          <w:tcPr>
            <w:tcW w:w="789" w:type="pct"/>
          </w:tcPr>
          <w:p w14:paraId="1AF2C175">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“7000”</w:t>
            </w:r>
          </w:p>
        </w:tc>
        <w:tc>
          <w:tcPr>
            <w:tcW w:w="3262" w:type="pct"/>
            <w:gridSpan w:val="3"/>
          </w:tcPr>
          <w:p w14:paraId="410D501A">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  》》  输入密码 - - - -  》》按“确认”键… …再按“确认”键，LCD型探测器就会显示当前AD值，显示时间180秒。</w:t>
            </w:r>
          </w:p>
          <w:p w14:paraId="7D56E268">
            <w:pPr>
              <w:pStyle w:val="7"/>
              <w:keepNext w:val="0"/>
              <w:keepLines w:val="0"/>
              <w:pageBreakBefore w:val="0"/>
              <w:widowControl w:val="0"/>
              <w:kinsoku/>
              <w:wordWrap/>
              <w:overflowPunct/>
              <w:topLinePunct w:val="0"/>
              <w:autoSpaceDE/>
              <w:autoSpaceDN/>
              <w:bidi w:val="0"/>
              <w:adjustRightInd/>
              <w:snapToGrid/>
              <w:spacing w:line="220" w:lineRule="exact"/>
              <w:jc w:val="left"/>
              <w:textAlignment w:val="auto"/>
              <w:rPr>
                <w:rFonts w:hint="eastAsia"/>
              </w:rPr>
            </w:pPr>
            <w:r>
              <w:rPr>
                <w:rFonts w:hint="eastAsia"/>
              </w:rPr>
              <w:t>按“功能”键退出设定模式，再按“功能”键回到初始状态。</w:t>
            </w:r>
          </w:p>
        </w:tc>
      </w:tr>
      <w:bookmarkEnd w:id="32"/>
    </w:tbl>
    <w:p w14:paraId="6063EAFA">
      <w:pPr>
        <w:pStyle w:val="3"/>
        <w:bidi w:val="0"/>
        <w:rPr>
          <w:rFonts w:hint="eastAsia"/>
          <w:lang w:val="en-US" w:eastAsia="zh-CN"/>
        </w:rPr>
      </w:pPr>
      <w:r>
        <w:rPr>
          <w:rFonts w:hint="eastAsia"/>
          <w:lang w:val="en-US" w:eastAsia="zh-CN"/>
        </w:rPr>
        <w:t xml:space="preserve"> </w:t>
      </w:r>
    </w:p>
    <w:p w14:paraId="454551A7">
      <w:pPr>
        <w:pStyle w:val="3"/>
        <w:bidi w:val="0"/>
        <w:rPr>
          <w:rFonts w:hint="eastAsia"/>
        </w:rPr>
      </w:pPr>
      <w:bookmarkStart w:id="34" w:name="_Toc18177"/>
      <w:r>
        <w:rPr>
          <w:rFonts w:hint="eastAsia"/>
          <w:lang w:val="en-US" w:eastAsia="zh-CN"/>
        </w:rPr>
        <w:t>4.</w:t>
      </w:r>
      <w:r>
        <w:rPr>
          <w:rFonts w:hint="eastAsia"/>
        </w:rPr>
        <w:t>5</w:t>
      </w:r>
      <w:r>
        <w:rPr>
          <w:rFonts w:hint="eastAsia"/>
          <w:lang w:val="en-US" w:eastAsia="zh-CN"/>
        </w:rPr>
        <w:t xml:space="preserve"> </w:t>
      </w:r>
      <w:r>
        <w:rPr>
          <w:rFonts w:hint="eastAsia"/>
        </w:rPr>
        <w:t>储存，搬运注意事项：</w:t>
      </w:r>
      <w:bookmarkEnd w:id="34"/>
    </w:p>
    <w:p w14:paraId="5D040D05">
      <w:pPr>
        <w:bidi w:val="0"/>
        <w:rPr>
          <w:rFonts w:hint="eastAsia"/>
        </w:rPr>
      </w:pPr>
      <w:bookmarkStart w:id="35" w:name="_Toc41140488"/>
      <w:r>
        <w:rPr>
          <w:rFonts w:hint="eastAsia"/>
        </w:rPr>
        <w:t>1、储存</w:t>
      </w:r>
      <w:bookmarkEnd w:id="35"/>
    </w:p>
    <w:p w14:paraId="58564A85">
      <w:pPr>
        <w:bidi w:val="0"/>
        <w:rPr>
          <w:rFonts w:hint="eastAsia"/>
        </w:rPr>
      </w:pPr>
      <w:r>
        <w:rPr>
          <w:rFonts w:hint="eastAsia"/>
        </w:rPr>
        <w:t>产品储存环境温度为-20℃至55℃，相对</w:t>
      </w:r>
      <w:r>
        <w:rPr>
          <w:rFonts w:hint="eastAsia"/>
          <w:lang w:val="en-US" w:eastAsia="zh-CN"/>
        </w:rPr>
        <w:t>湿度</w:t>
      </w:r>
      <w:r>
        <w:rPr>
          <w:rFonts w:hint="eastAsia"/>
        </w:rPr>
        <w:t xml:space="preserve"> ≤9</w:t>
      </w:r>
      <w:r>
        <w:rPr>
          <w:rFonts w:hint="eastAsia"/>
          <w:lang w:val="en-US" w:eastAsia="zh-CN"/>
        </w:rPr>
        <w:t>6</w:t>
      </w:r>
      <w:r>
        <w:rPr>
          <w:rFonts w:hint="eastAsia"/>
        </w:rPr>
        <w:t>%RH。</w:t>
      </w:r>
    </w:p>
    <w:p w14:paraId="6CB49FAF">
      <w:pPr>
        <w:bidi w:val="0"/>
        <w:rPr>
          <w:rFonts w:hint="eastAsia"/>
        </w:rPr>
      </w:pPr>
      <w:r>
        <w:rPr>
          <w:rFonts w:hint="eastAsia"/>
        </w:rPr>
        <w:t>产品储存不含酸性、碱性以及其他腐蚀性，及易燃气体的空气环境中。</w:t>
      </w:r>
    </w:p>
    <w:p w14:paraId="54542DCB">
      <w:pPr>
        <w:bidi w:val="0"/>
        <w:rPr>
          <w:rFonts w:hint="eastAsia"/>
        </w:rPr>
      </w:pPr>
      <w:r>
        <w:rPr>
          <w:rFonts w:hint="eastAsia"/>
        </w:rPr>
        <w:t>产品的储存应置于防尘、防雨、防潮的环境内，设备暂存使用高于10cm的木踏板将设备与地面隔绝。</w:t>
      </w:r>
    </w:p>
    <w:p w14:paraId="27990F93">
      <w:pPr>
        <w:bidi w:val="0"/>
        <w:rPr>
          <w:rFonts w:hint="eastAsia"/>
        </w:rPr>
      </w:pPr>
      <w:bookmarkStart w:id="36" w:name="_Toc41140489"/>
      <w:r>
        <w:rPr>
          <w:rFonts w:hint="eastAsia"/>
        </w:rPr>
        <w:t>2、搬运</w:t>
      </w:r>
      <w:bookmarkEnd w:id="36"/>
    </w:p>
    <w:p w14:paraId="15D8B021">
      <w:pPr>
        <w:bidi w:val="0"/>
        <w:rPr>
          <w:rFonts w:hint="eastAsia"/>
        </w:rPr>
      </w:pPr>
      <w:r>
        <w:rPr>
          <w:rFonts w:hint="eastAsia"/>
        </w:rPr>
        <w:t>搬运设备应采用机械设备平行搬运、严禁倒置。</w:t>
      </w:r>
    </w:p>
    <w:p w14:paraId="366D148E">
      <w:pPr>
        <w:bidi w:val="0"/>
        <w:rPr>
          <w:rFonts w:hint="eastAsia"/>
        </w:rPr>
      </w:pPr>
      <w:r>
        <w:rPr>
          <w:rFonts w:hint="eastAsia"/>
        </w:rPr>
        <w:t>搬运设备落地时，小心轻放、切勿重放。</w:t>
      </w:r>
    </w:p>
    <w:p w14:paraId="3B1DD3E6">
      <w:pPr>
        <w:pStyle w:val="2"/>
        <w:bidi w:val="0"/>
        <w:rPr>
          <w:rFonts w:hint="eastAsia"/>
          <w:lang w:val="en-US" w:eastAsia="zh-CN"/>
        </w:rPr>
      </w:pPr>
      <w:bookmarkStart w:id="37" w:name="_Toc16750"/>
      <w:r>
        <w:rPr>
          <w:rFonts w:hint="eastAsia"/>
          <w:lang w:val="en-US" w:eastAsia="zh-CN"/>
        </w:rPr>
        <w:t>五</w:t>
      </w:r>
      <w:r>
        <w:rPr>
          <w:rFonts w:hint="eastAsia"/>
        </w:rPr>
        <w:t>、</w:t>
      </w:r>
      <w:r>
        <w:rPr>
          <w:rFonts w:hint="eastAsia"/>
          <w:lang w:val="en-US" w:eastAsia="zh-CN"/>
        </w:rPr>
        <w:t>产品维护及注意事项</w:t>
      </w:r>
      <w:bookmarkEnd w:id="37"/>
    </w:p>
    <w:p w14:paraId="7EB69F85">
      <w:pPr>
        <w:bidi w:val="0"/>
        <w:rPr>
          <w:rFonts w:hint="eastAsia"/>
        </w:rPr>
      </w:pPr>
      <w:bookmarkStart w:id="38" w:name="_Toc476316960"/>
      <w:bookmarkStart w:id="39" w:name="_Toc27478"/>
      <w:r>
        <w:rPr>
          <w:rFonts w:hint="eastAsia"/>
        </w:rPr>
        <w:t>探测器安装调试完毕后，请勿随意挪动位置；</w:t>
      </w:r>
    </w:p>
    <w:p w14:paraId="39682AE8">
      <w:pPr>
        <w:bidi w:val="0"/>
        <w:rPr>
          <w:rFonts w:hint="eastAsia"/>
        </w:rPr>
      </w:pPr>
      <w:r>
        <w:rPr>
          <w:rFonts w:hint="eastAsia"/>
        </w:rPr>
        <w:t>探测器出厂前经过了严格的标定，请不要随意更换元器件，如需更换，请联系厂家；</w:t>
      </w:r>
    </w:p>
    <w:p w14:paraId="34ECB732">
      <w:pPr>
        <w:bidi w:val="0"/>
        <w:rPr>
          <w:rFonts w:hint="eastAsia"/>
          <w:lang w:val="en-US" w:eastAsia="zh-CN"/>
        </w:rPr>
      </w:pPr>
      <w:r>
        <w:rPr>
          <w:rFonts w:hint="eastAsia"/>
          <w:lang w:val="en-US" w:eastAsia="zh-CN"/>
        </w:rPr>
        <w:t>为确保产品性能的可靠性，我们建议用户，在使用期限内，每三个月对产品进行校准并检查性能及状态。</w:t>
      </w:r>
    </w:p>
    <w:p w14:paraId="612D1104">
      <w:pPr>
        <w:bidi w:val="0"/>
        <w:rPr>
          <w:rFonts w:hint="eastAsia"/>
        </w:rPr>
      </w:pPr>
      <w:r>
        <w:rPr>
          <w:rFonts w:hint="eastAsia"/>
        </w:rPr>
        <w:t>一般情况下传感器的正常使用寿命为：催化燃烧式传感器为3-5年。传感器的实际使用寿命与工作环境有直接的关系,使用环境不同,传感器的寿命会发生变化。</w:t>
      </w:r>
    </w:p>
    <w:p w14:paraId="2CB3D552">
      <w:pPr>
        <w:bidi w:val="0"/>
        <w:rPr>
          <w:rFonts w:hint="eastAsia"/>
        </w:rPr>
      </w:pPr>
      <w:r>
        <w:rPr>
          <w:rFonts w:hint="eastAsia"/>
        </w:rPr>
        <w:t>传感器禁止高浓度气体的冲击，这样可能损坏传感器；</w:t>
      </w:r>
    </w:p>
    <w:p w14:paraId="6F9261DB">
      <w:pPr>
        <w:bidi w:val="0"/>
        <w:rPr>
          <w:rFonts w:hint="eastAsia"/>
        </w:rPr>
      </w:pPr>
      <w:r>
        <w:rPr>
          <w:rFonts w:hint="eastAsia"/>
        </w:rPr>
        <w:t>避免探测器经常断电，经常性的断电会导致检测元件工作的不稳定；</w:t>
      </w:r>
    </w:p>
    <w:p w14:paraId="478D699C">
      <w:pPr>
        <w:bidi w:val="0"/>
        <w:rPr>
          <w:rFonts w:hint="eastAsia"/>
        </w:rPr>
      </w:pPr>
      <w:r>
        <w:rPr>
          <w:rFonts w:hint="eastAsia"/>
        </w:rPr>
        <w:t>安装现场环境恶劣的，检测时应重点检查探测器通讯线缆是否被腐蚀，安装固定是否依然牢固。传感器金属进气片是否被堵塞，应及时清理以免影响气体的扩散。</w:t>
      </w:r>
    </w:p>
    <w:p w14:paraId="60B2C765">
      <w:pPr>
        <w:bidi w:val="0"/>
        <w:rPr>
          <w:rFonts w:hint="eastAsia" w:ascii="思源黑体" w:hAnsi="思源黑体" w:eastAsia="思源黑体" w:cs="思源黑体"/>
          <w:szCs w:val="16"/>
        </w:rPr>
      </w:pPr>
      <w:r>
        <w:rPr>
          <w:rFonts w:hint="eastAsia"/>
        </w:rPr>
        <w:t xml:space="preserve"> 外包装拆卸后，请不要随意丢弃，可进行二次利用；产品寿命到期后，应从环保角度，依照地方废物管理以及环境法规的要求进行安全处理。</w:t>
      </w:r>
    </w:p>
    <w:p w14:paraId="41912030">
      <w:pPr>
        <w:pStyle w:val="2"/>
        <w:bidi w:val="0"/>
        <w:rPr>
          <w:rFonts w:hint="eastAsia"/>
        </w:rPr>
      </w:pPr>
      <w:bookmarkStart w:id="40" w:name="_Toc8279"/>
      <w:r>
        <w:rPr>
          <w:rFonts w:hint="eastAsia"/>
        </w:rPr>
        <w:t>六、故障排除</w:t>
      </w:r>
      <w:bookmarkEnd w:id="38"/>
      <w:bookmarkEnd w:id="39"/>
      <w:bookmarkEnd w:id="40"/>
    </w:p>
    <w:p w14:paraId="7861AB43">
      <w:pPr>
        <w:bidi w:val="0"/>
        <w:rPr>
          <w:rFonts w:hint="eastAsia" w:ascii="思源黑体" w:hAnsi="思源黑体" w:eastAsia="思源黑体" w:cs="思源黑体"/>
          <w:szCs w:val="16"/>
        </w:rPr>
      </w:pPr>
      <w:r>
        <w:rPr>
          <w:rFonts w:hint="eastAsia"/>
        </w:rPr>
        <w:t>当控制器液晶显示以下内容时，请打开探测器上盖，首先确认供电电压是否正常，然后参考下列现象相应处理：</w:t>
      </w:r>
    </w:p>
    <w:tbl>
      <w:tblPr>
        <w:tblStyle w:val="13"/>
        <w:tblpPr w:leftFromText="180" w:rightFromText="180" w:vertAnchor="text" w:tblpXSpec="center" w:tblpY="1"/>
        <w:tblOverlap w:val="never"/>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85" w:type="dxa"/>
          <w:bottom w:w="0" w:type="dxa"/>
          <w:right w:w="85" w:type="dxa"/>
        </w:tblCellMar>
      </w:tblPr>
      <w:tblGrid>
        <w:gridCol w:w="853"/>
        <w:gridCol w:w="856"/>
        <w:gridCol w:w="1821"/>
        <w:gridCol w:w="949"/>
      </w:tblGrid>
      <w:tr w14:paraId="697675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82" w:hRule="atLeast"/>
          <w:jc w:val="center"/>
        </w:trPr>
        <w:tc>
          <w:tcPr>
            <w:tcW w:w="952" w:type="pct"/>
            <w:vAlign w:val="center"/>
          </w:tcPr>
          <w:p w14:paraId="76B22178">
            <w:pPr>
              <w:pStyle w:val="7"/>
              <w:bidi w:val="0"/>
              <w:rPr>
                <w:rFonts w:hint="eastAsia"/>
              </w:rPr>
            </w:pPr>
            <w:r>
              <w:rPr>
                <w:rFonts w:hint="eastAsia"/>
              </w:rPr>
              <w:t>故障现象</w:t>
            </w:r>
          </w:p>
        </w:tc>
        <w:tc>
          <w:tcPr>
            <w:tcW w:w="955" w:type="pct"/>
            <w:vAlign w:val="center"/>
          </w:tcPr>
          <w:p w14:paraId="68A18776">
            <w:pPr>
              <w:pStyle w:val="7"/>
              <w:bidi w:val="0"/>
              <w:rPr>
                <w:rFonts w:hint="eastAsia"/>
              </w:rPr>
            </w:pPr>
            <w:r>
              <w:rPr>
                <w:rFonts w:hint="eastAsia"/>
              </w:rPr>
              <w:t>原因分析</w:t>
            </w:r>
          </w:p>
        </w:tc>
        <w:tc>
          <w:tcPr>
            <w:tcW w:w="2031" w:type="pct"/>
            <w:vAlign w:val="center"/>
          </w:tcPr>
          <w:p w14:paraId="46334E5D">
            <w:pPr>
              <w:pStyle w:val="7"/>
              <w:bidi w:val="0"/>
              <w:rPr>
                <w:rFonts w:hint="eastAsia"/>
              </w:rPr>
            </w:pPr>
            <w:r>
              <w:rPr>
                <w:rFonts w:hint="eastAsia"/>
              </w:rPr>
              <w:t>排除方法</w:t>
            </w:r>
          </w:p>
        </w:tc>
        <w:tc>
          <w:tcPr>
            <w:tcW w:w="1059" w:type="pct"/>
            <w:vAlign w:val="center"/>
          </w:tcPr>
          <w:p w14:paraId="7C740FB9">
            <w:pPr>
              <w:pStyle w:val="7"/>
              <w:bidi w:val="0"/>
              <w:rPr>
                <w:rFonts w:hint="eastAsia"/>
              </w:rPr>
            </w:pPr>
            <w:r>
              <w:rPr>
                <w:rFonts w:hint="eastAsia"/>
              </w:rPr>
              <w:t>备注</w:t>
            </w:r>
          </w:p>
        </w:tc>
      </w:tr>
      <w:tr w14:paraId="793F49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85" w:type="dxa"/>
          </w:tblCellMar>
        </w:tblPrEx>
        <w:trPr>
          <w:trHeight w:val="482" w:hRule="atLeast"/>
          <w:jc w:val="center"/>
        </w:trPr>
        <w:tc>
          <w:tcPr>
            <w:tcW w:w="952" w:type="pct"/>
            <w:vAlign w:val="center"/>
          </w:tcPr>
          <w:p w14:paraId="5555D9CB">
            <w:pPr>
              <w:pStyle w:val="7"/>
              <w:bidi w:val="0"/>
              <w:rPr>
                <w:rFonts w:hint="eastAsia"/>
              </w:rPr>
            </w:pPr>
            <w:r>
              <w:rPr>
                <w:rFonts w:hint="eastAsia"/>
              </w:rPr>
              <w:t>显示“E1”</w:t>
            </w:r>
          </w:p>
        </w:tc>
        <w:tc>
          <w:tcPr>
            <w:tcW w:w="955" w:type="pct"/>
            <w:vAlign w:val="center"/>
          </w:tcPr>
          <w:p w14:paraId="48076584">
            <w:pPr>
              <w:pStyle w:val="7"/>
              <w:bidi w:val="0"/>
              <w:jc w:val="left"/>
              <w:rPr>
                <w:rFonts w:hint="eastAsia"/>
              </w:rPr>
            </w:pPr>
            <w:r>
              <w:rPr>
                <w:rFonts w:hint="eastAsia"/>
              </w:rPr>
              <w:t>传感器故障</w:t>
            </w:r>
          </w:p>
        </w:tc>
        <w:tc>
          <w:tcPr>
            <w:tcW w:w="2031" w:type="pct"/>
            <w:vAlign w:val="center"/>
          </w:tcPr>
          <w:p w14:paraId="09AF6B26">
            <w:pPr>
              <w:pStyle w:val="7"/>
              <w:bidi w:val="0"/>
              <w:jc w:val="left"/>
              <w:rPr>
                <w:rFonts w:hint="eastAsia"/>
              </w:rPr>
            </w:pPr>
            <w:r>
              <w:rPr>
                <w:rFonts w:hint="eastAsia"/>
                <w:lang w:val="en-US" w:eastAsia="zh-CN"/>
              </w:rPr>
              <w:t>1.</w:t>
            </w:r>
            <w:r>
              <w:rPr>
                <w:rFonts w:hint="eastAsia"/>
              </w:rPr>
              <w:t>传感器接插件重新连接</w:t>
            </w:r>
          </w:p>
          <w:p w14:paraId="324EA668">
            <w:pPr>
              <w:pStyle w:val="7"/>
              <w:bidi w:val="0"/>
              <w:jc w:val="left"/>
              <w:rPr>
                <w:rFonts w:hint="eastAsia"/>
              </w:rPr>
            </w:pPr>
            <w:r>
              <w:rPr>
                <w:rFonts w:hint="eastAsia"/>
                <w:lang w:val="en-US" w:eastAsia="zh-CN"/>
              </w:rPr>
              <w:t>2.</w:t>
            </w:r>
            <w:r>
              <w:rPr>
                <w:rFonts w:hint="eastAsia"/>
              </w:rPr>
              <w:t>更换传感器</w:t>
            </w:r>
          </w:p>
        </w:tc>
        <w:tc>
          <w:tcPr>
            <w:tcW w:w="1059" w:type="pct"/>
          </w:tcPr>
          <w:p w14:paraId="10F95E5D">
            <w:pPr>
              <w:pStyle w:val="7"/>
              <w:bidi w:val="0"/>
              <w:rPr>
                <w:rFonts w:hint="eastAsia"/>
              </w:rPr>
            </w:pPr>
          </w:p>
        </w:tc>
      </w:tr>
      <w:tr w14:paraId="08474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85" w:type="dxa"/>
          </w:tblCellMar>
        </w:tblPrEx>
        <w:trPr>
          <w:trHeight w:val="482" w:hRule="atLeast"/>
          <w:jc w:val="center"/>
        </w:trPr>
        <w:tc>
          <w:tcPr>
            <w:tcW w:w="952" w:type="pct"/>
            <w:vAlign w:val="center"/>
          </w:tcPr>
          <w:p w14:paraId="13EE9321">
            <w:pPr>
              <w:pStyle w:val="7"/>
              <w:bidi w:val="0"/>
              <w:rPr>
                <w:rFonts w:hint="eastAsia"/>
              </w:rPr>
            </w:pPr>
            <w:r>
              <w:rPr>
                <w:rFonts w:hint="eastAsia"/>
              </w:rPr>
              <w:t>显示“E2”</w:t>
            </w:r>
          </w:p>
        </w:tc>
        <w:tc>
          <w:tcPr>
            <w:tcW w:w="955" w:type="pct"/>
            <w:vAlign w:val="center"/>
          </w:tcPr>
          <w:p w14:paraId="51B379B8">
            <w:pPr>
              <w:pStyle w:val="7"/>
              <w:bidi w:val="0"/>
              <w:jc w:val="left"/>
              <w:rPr>
                <w:rFonts w:hint="eastAsia"/>
              </w:rPr>
            </w:pPr>
            <w:r>
              <w:rPr>
                <w:rFonts w:hint="eastAsia"/>
              </w:rPr>
              <w:t>探测器与控制器之间不通讯</w:t>
            </w:r>
          </w:p>
        </w:tc>
        <w:tc>
          <w:tcPr>
            <w:tcW w:w="2031" w:type="pct"/>
            <w:vAlign w:val="center"/>
          </w:tcPr>
          <w:p w14:paraId="27692E1A">
            <w:pPr>
              <w:pStyle w:val="7"/>
              <w:bidi w:val="0"/>
              <w:jc w:val="left"/>
              <w:rPr>
                <w:rFonts w:hint="eastAsia"/>
              </w:rPr>
            </w:pPr>
            <w:r>
              <w:rPr>
                <w:rFonts w:hint="eastAsia"/>
                <w:lang w:val="en-US" w:eastAsia="zh-CN"/>
              </w:rPr>
              <w:t>1.</w:t>
            </w:r>
            <w:r>
              <w:rPr>
                <w:rFonts w:hint="eastAsia"/>
              </w:rPr>
              <w:t>检查接线是否正确</w:t>
            </w:r>
          </w:p>
          <w:p w14:paraId="201E2FC3">
            <w:pPr>
              <w:pStyle w:val="7"/>
              <w:bidi w:val="0"/>
              <w:jc w:val="left"/>
              <w:rPr>
                <w:rFonts w:hint="eastAsia"/>
              </w:rPr>
            </w:pPr>
            <w:r>
              <w:rPr>
                <w:rFonts w:hint="eastAsia"/>
                <w:lang w:val="en-US" w:eastAsia="zh-CN"/>
              </w:rPr>
              <w:t>2.</w:t>
            </w:r>
            <w:r>
              <w:rPr>
                <w:rFonts w:hint="eastAsia"/>
              </w:rPr>
              <w:t>探测器电压是否正常</w:t>
            </w:r>
          </w:p>
          <w:p w14:paraId="334F34D2">
            <w:pPr>
              <w:pStyle w:val="7"/>
              <w:bidi w:val="0"/>
              <w:jc w:val="left"/>
              <w:rPr>
                <w:rFonts w:hint="eastAsia"/>
              </w:rPr>
            </w:pPr>
            <w:r>
              <w:rPr>
                <w:rFonts w:hint="eastAsia"/>
                <w:lang w:val="en-US" w:eastAsia="zh-CN"/>
              </w:rPr>
              <w:t>3.</w:t>
            </w:r>
            <w:r>
              <w:rPr>
                <w:rFonts w:hint="eastAsia"/>
              </w:rPr>
              <w:t>时间久之后连接线是否被腐蚀、接线端子处是否连接良好</w:t>
            </w:r>
          </w:p>
        </w:tc>
        <w:tc>
          <w:tcPr>
            <w:tcW w:w="1059" w:type="pct"/>
          </w:tcPr>
          <w:p w14:paraId="739658AE">
            <w:pPr>
              <w:pStyle w:val="7"/>
              <w:bidi w:val="0"/>
              <w:rPr>
                <w:rFonts w:hint="eastAsia"/>
              </w:rPr>
            </w:pPr>
          </w:p>
        </w:tc>
      </w:tr>
      <w:tr w14:paraId="22998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85" w:type="dxa"/>
          </w:tblCellMar>
        </w:tblPrEx>
        <w:trPr>
          <w:trHeight w:val="482" w:hRule="atLeast"/>
          <w:jc w:val="center"/>
        </w:trPr>
        <w:tc>
          <w:tcPr>
            <w:tcW w:w="952" w:type="pct"/>
            <w:vAlign w:val="center"/>
          </w:tcPr>
          <w:p w14:paraId="357A19D3">
            <w:pPr>
              <w:pStyle w:val="7"/>
              <w:bidi w:val="0"/>
              <w:rPr>
                <w:rFonts w:hint="eastAsia"/>
              </w:rPr>
            </w:pPr>
            <w:r>
              <w:rPr>
                <w:rFonts w:hint="eastAsia"/>
              </w:rPr>
              <w:t>显示“E3”</w:t>
            </w:r>
          </w:p>
        </w:tc>
        <w:tc>
          <w:tcPr>
            <w:tcW w:w="955" w:type="pct"/>
            <w:vAlign w:val="center"/>
          </w:tcPr>
          <w:p w14:paraId="29E2D19E">
            <w:pPr>
              <w:pStyle w:val="7"/>
              <w:bidi w:val="0"/>
              <w:jc w:val="left"/>
              <w:rPr>
                <w:rFonts w:hint="eastAsia"/>
              </w:rPr>
            </w:pPr>
            <w:r>
              <w:rPr>
                <w:rFonts w:hint="eastAsia"/>
              </w:rPr>
              <w:t>存储芯片故障</w:t>
            </w:r>
          </w:p>
        </w:tc>
        <w:tc>
          <w:tcPr>
            <w:tcW w:w="2031" w:type="pct"/>
            <w:vAlign w:val="center"/>
          </w:tcPr>
          <w:p w14:paraId="698D0AF4">
            <w:pPr>
              <w:pStyle w:val="7"/>
              <w:bidi w:val="0"/>
              <w:jc w:val="left"/>
              <w:rPr>
                <w:rFonts w:hint="eastAsia"/>
              </w:rPr>
            </w:pPr>
            <w:r>
              <w:rPr>
                <w:rFonts w:hint="eastAsia"/>
              </w:rPr>
              <w:t>探测器存储芯片故障，返厂维修</w:t>
            </w:r>
          </w:p>
        </w:tc>
        <w:tc>
          <w:tcPr>
            <w:tcW w:w="1059" w:type="pct"/>
          </w:tcPr>
          <w:p w14:paraId="348B30B0">
            <w:pPr>
              <w:pStyle w:val="7"/>
              <w:bidi w:val="0"/>
              <w:rPr>
                <w:rFonts w:hint="eastAsia"/>
              </w:rPr>
            </w:pPr>
          </w:p>
        </w:tc>
      </w:tr>
    </w:tbl>
    <w:p w14:paraId="0FFD467C">
      <w:pPr>
        <w:pStyle w:val="2"/>
        <w:bidi w:val="0"/>
        <w:rPr>
          <w:rFonts w:hint="eastAsia"/>
        </w:rPr>
      </w:pPr>
      <w:bookmarkStart w:id="41" w:name="_Toc476316962"/>
      <w:bookmarkStart w:id="42" w:name="_Toc25501"/>
      <w:bookmarkStart w:id="43" w:name="_Toc8064"/>
      <w:r>
        <w:rPr>
          <w:rFonts w:hint="eastAsia"/>
        </w:rPr>
        <w:t>七、售后</w:t>
      </w:r>
      <w:bookmarkEnd w:id="41"/>
      <w:bookmarkEnd w:id="42"/>
      <w:bookmarkEnd w:id="43"/>
      <w:bookmarkStart w:id="44" w:name="_Hlk17792719"/>
    </w:p>
    <w:bookmarkEnd w:id="44"/>
    <w:p w14:paraId="5E379DBF">
      <w:pPr>
        <w:bidi w:val="0"/>
        <w:rPr>
          <w:rFonts w:hint="eastAsia"/>
        </w:rPr>
      </w:pPr>
      <w:r>
        <w:rPr>
          <w:rFonts w:hint="eastAsia"/>
        </w:rPr>
        <w:t>在用户完全遵守说明书规定的运输、存储、安装和操作使用的条件下，产品从出厂之日起计算保修时间，保修时间为一年（自然灾害和人为因素除外）。请勿私自拆解本产品，一经打开，保修服务自动终止。</w:t>
      </w:r>
    </w:p>
    <w:p w14:paraId="5C497429">
      <w:pPr>
        <w:bidi w:val="0"/>
        <w:rPr>
          <w:rFonts w:hint="eastAsia"/>
        </w:rPr>
      </w:pPr>
      <w:r>
        <w:rPr>
          <w:rFonts w:hint="eastAsia"/>
        </w:rPr>
        <w:t>保修期内的产品可应客户要求，返厂免费为客户进行一次气体标定和维护,我公司不承担产品往返运费。</w:t>
      </w:r>
    </w:p>
    <w:p w14:paraId="04D681B4">
      <w:pPr>
        <w:bidi w:val="0"/>
        <w:rPr>
          <w:rFonts w:hint="eastAsia"/>
        </w:rPr>
      </w:pPr>
      <w:r>
        <w:rPr>
          <w:rFonts w:hint="eastAsia"/>
        </w:rPr>
        <w:t>超出质保期的产品，甲方只收取维修成本费。</w:t>
      </w:r>
    </w:p>
    <w:p w14:paraId="2BA07D2F">
      <w:pPr>
        <w:pageBreakBefore w:val="0"/>
        <w:widowControl w:val="0"/>
        <w:kinsoku/>
        <w:wordWrap/>
        <w:overflowPunct/>
        <w:topLinePunct w:val="0"/>
        <w:autoSpaceDE/>
        <w:autoSpaceDN/>
        <w:bidi w:val="0"/>
        <w:spacing w:line="240" w:lineRule="exact"/>
        <w:ind w:left="0" w:leftChars="0" w:firstLine="0" w:firstLineChars="0"/>
        <w:textAlignment w:val="auto"/>
        <w:rPr>
          <w:rFonts w:hint="eastAsia" w:ascii="思源黑体" w:hAnsi="思源黑体" w:eastAsia="思源黑体" w:cs="思源黑体"/>
          <w:sz w:val="16"/>
          <w:szCs w:val="16"/>
        </w:rPr>
      </w:pPr>
    </w:p>
    <w:p w14:paraId="05D1CBF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E06CE3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69FFAD5">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E4C25B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F1F4E52">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0999C08">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9F690C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0F8DB67">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732B5F5">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725A9F2">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3D9386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FD4D73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D0EBF5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71D26C5">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67B6AC39">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423173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D146348">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88A5528">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C8BC4E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444275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C5D53A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89E4641">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275FD08">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86747FC">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4FACF59">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44ED711">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482B24D">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3C0A57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AB0461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ADB653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DBE98B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4907250">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62AC06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3C7A3C0">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2CBF85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9759577">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AD198D2">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CE034F8">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EA29EE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6FA7785">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8406FD2">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5F459FA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863B7E4">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35F4E4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5731EA1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59FA1293">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62D7BB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5227E535">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3221DA1">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BF39587">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ADF1330">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DD5C829">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5771A3B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12915BD">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12AAA456">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F6EFF9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795731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0C42622B">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3015CC5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4707C457">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sectPr>
          <w:footerReference r:id="rId10" w:type="first"/>
          <w:headerReference r:id="rId8" w:type="default"/>
          <w:footerReference r:id="rId9" w:type="default"/>
          <w:pgSz w:w="5669" w:h="7937"/>
          <w:pgMar w:top="680" w:right="680" w:bottom="680" w:left="680" w:header="397" w:footer="397" w:gutter="0"/>
          <w:pgNumType w:fmt="decimal"/>
          <w:cols w:space="0" w:num="1"/>
          <w:titlePg/>
          <w:rtlGutter w:val="0"/>
          <w:docGrid w:type="lines" w:linePitch="329" w:charSpace="0"/>
        </w:sectPr>
      </w:pPr>
    </w:p>
    <w:p w14:paraId="22C29A7A">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2198EE3F">
      <w:pPr>
        <w:pageBreakBefore w:val="0"/>
        <w:widowControl w:val="0"/>
        <w:kinsoku/>
        <w:wordWrap/>
        <w:overflowPunct/>
        <w:topLinePunct w:val="0"/>
        <w:autoSpaceDE/>
        <w:autoSpaceDN/>
        <w:bidi w:val="0"/>
        <w:spacing w:line="240" w:lineRule="exact"/>
        <w:textAlignment w:val="auto"/>
        <w:rPr>
          <w:rFonts w:hint="eastAsia" w:ascii="思源黑体" w:hAnsi="思源黑体" w:eastAsia="思源黑体" w:cs="思源黑体"/>
          <w:sz w:val="16"/>
          <w:szCs w:val="16"/>
        </w:rPr>
      </w:pPr>
    </w:p>
    <w:p w14:paraId="789B17ED">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eastAsia" w:ascii="思源黑体" w:hAnsi="思源黑体" w:eastAsia="思源黑体" w:cs="思源黑体"/>
          <w:sz w:val="16"/>
          <w:szCs w:val="16"/>
        </w:rPr>
      </w:pPr>
    </w:p>
    <w:p w14:paraId="45FADAAC">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072E4C3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4AD65ABB">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1B414CE3">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46AA4A2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346AD39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48AC162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57F68F4E">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020CA9E9">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7BED0F7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29088D5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109282D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448D27C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1FE4C2D8">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0AD87FF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思源黑体" w:hAnsi="思源黑体" w:eastAsia="思源黑体" w:cs="思源黑体"/>
          <w:sz w:val="16"/>
          <w:szCs w:val="16"/>
        </w:rPr>
      </w:pPr>
    </w:p>
    <w:p w14:paraId="0B07FE7B">
      <w:pPr>
        <w:keepNext w:val="0"/>
        <w:keepLines w:val="0"/>
        <w:pageBreakBefore w:val="0"/>
        <w:widowControl w:val="0"/>
        <w:kinsoku/>
        <w:wordWrap/>
        <w:overflowPunct/>
        <w:topLinePunct w:val="0"/>
        <w:autoSpaceDE/>
        <w:autoSpaceDN/>
        <w:bidi w:val="0"/>
        <w:adjustRightInd/>
        <w:snapToGrid/>
        <w:spacing w:line="264" w:lineRule="auto"/>
        <w:ind w:firstLine="0" w:firstLineChars="0"/>
        <w:jc w:val="left"/>
        <w:textAlignment w:val="auto"/>
        <w:rPr>
          <w:rFonts w:hint="eastAsia" w:ascii="黑体" w:hAnsi="黑体" w:eastAsia="黑体" w:cs="黑体"/>
          <w:b w:val="0"/>
          <w:bCs w:val="0"/>
          <w:spacing w:val="-11"/>
          <w:sz w:val="24"/>
          <w:szCs w:val="24"/>
        </w:rPr>
      </w:pPr>
      <w:r>
        <w:rPr>
          <w:rFonts w:hint="eastAsia" w:ascii="黑体" w:hAnsi="黑体" w:eastAsia="黑体" w:cs="黑体"/>
          <w:b w:val="0"/>
          <w:bCs w:val="0"/>
          <w:spacing w:val="0"/>
          <w:sz w:val="20"/>
          <w:szCs w:val="20"/>
        </w:rPr>
        <w:t>济南瑞安电子有限公司</w:t>
      </w:r>
    </w:p>
    <w:p w14:paraId="6727349C">
      <w:pPr>
        <w:keepNext w:val="0"/>
        <w:keepLines w:val="0"/>
        <w:pageBreakBefore w:val="0"/>
        <w:widowControl w:val="0"/>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pacing w:val="0"/>
          <w:sz w:val="14"/>
          <w:szCs w:val="14"/>
        </w:rPr>
      </w:pPr>
      <w:r>
        <w:rPr>
          <w:rFonts w:hint="eastAsia" w:ascii="黑体" w:hAnsi="黑体" w:eastAsia="黑体" w:cs="黑体"/>
          <w:spacing w:val="0"/>
          <w:sz w:val="14"/>
          <w:szCs w:val="14"/>
        </w:rPr>
        <w:t>地址:山东省济南市高新区明胥街78号</w:t>
      </w:r>
      <w:r>
        <w:rPr>
          <w:rFonts w:hint="eastAsia" w:ascii="黑体" w:hAnsi="黑体" w:eastAsia="黑体" w:cs="黑体"/>
          <w:spacing w:val="0"/>
          <w:sz w:val="14"/>
          <w:szCs w:val="14"/>
          <w:lang w:val="en-US" w:eastAsia="zh-CN"/>
        </w:rPr>
        <w:t xml:space="preserve">   </w:t>
      </w:r>
      <w:r>
        <w:rPr>
          <w:rFonts w:hint="eastAsia" w:ascii="黑体" w:hAnsi="黑体" w:eastAsia="黑体" w:cs="黑体"/>
          <w:spacing w:val="0"/>
          <w:sz w:val="14"/>
          <w:szCs w:val="14"/>
        </w:rPr>
        <w:t>邮编:250209</w:t>
      </w:r>
    </w:p>
    <w:p w14:paraId="0051ABB4">
      <w:pPr>
        <w:keepNext w:val="0"/>
        <w:keepLines w:val="0"/>
        <w:pageBreakBefore w:val="0"/>
        <w:widowControl w:val="0"/>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pacing w:val="0"/>
          <w:sz w:val="14"/>
          <w:szCs w:val="14"/>
        </w:rPr>
      </w:pPr>
      <w:r>
        <w:rPr>
          <w:rFonts w:hint="eastAsia" w:ascii="黑体" w:hAnsi="黑体" w:eastAsia="黑体" w:cs="黑体"/>
          <w:spacing w:val="0"/>
          <w:sz w:val="14"/>
          <w:szCs w:val="14"/>
        </w:rPr>
        <w:t>服务热线: 400-658-5060  电话:0531-80972672</w:t>
      </w:r>
    </w:p>
    <w:p w14:paraId="1C98AB97">
      <w:pPr>
        <w:keepNext w:val="0"/>
        <w:keepLines w:val="0"/>
        <w:pageBreakBefore w:val="0"/>
        <w:widowControl w:val="0"/>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pacing w:val="0"/>
          <w:sz w:val="14"/>
          <w:szCs w:val="14"/>
        </w:rPr>
      </w:pPr>
      <w:r>
        <w:rPr>
          <w:rFonts w:hint="eastAsia" w:ascii="黑体" w:hAnsi="黑体" w:eastAsia="黑体" w:cs="黑体"/>
          <w:spacing w:val="0"/>
          <w:sz w:val="14"/>
          <w:szCs w:val="14"/>
        </w:rPr>
        <w:t>邮箱:jnrean@ruiandianzi.com</w:t>
      </w:r>
    </w:p>
    <w:p w14:paraId="2CEFECF8">
      <w:pPr>
        <w:keepNext w:val="0"/>
        <w:keepLines w:val="0"/>
        <w:pageBreakBefore w:val="0"/>
        <w:widowControl w:val="0"/>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pacing w:val="0"/>
          <w:sz w:val="14"/>
          <w:szCs w:val="14"/>
        </w:rPr>
      </w:pPr>
      <w:r>
        <w:rPr>
          <w:rFonts w:hint="eastAsia" w:ascii="黑体" w:hAnsi="黑体" w:eastAsia="黑体" w:cs="黑体"/>
          <w:spacing w:val="0"/>
          <w:sz w:val="14"/>
          <w:szCs w:val="14"/>
        </w:rPr>
        <w:t xml:space="preserve">网址: </w:t>
      </w:r>
      <w:r>
        <w:rPr>
          <w:rFonts w:hint="eastAsia" w:ascii="黑体" w:hAnsi="黑体" w:eastAsia="黑体" w:cs="黑体"/>
          <w:spacing w:val="0"/>
          <w:sz w:val="14"/>
          <w:szCs w:val="14"/>
        </w:rPr>
        <w:fldChar w:fldCharType="begin"/>
      </w:r>
      <w:r>
        <w:rPr>
          <w:rFonts w:hint="eastAsia" w:ascii="黑体" w:hAnsi="黑体" w:eastAsia="黑体" w:cs="黑体"/>
          <w:spacing w:val="0"/>
          <w:sz w:val="14"/>
          <w:szCs w:val="14"/>
        </w:rPr>
        <w:instrText xml:space="preserve"> HYPERLINK "http://www.ruiandianzi.com" </w:instrText>
      </w:r>
      <w:r>
        <w:rPr>
          <w:rFonts w:hint="eastAsia" w:ascii="黑体" w:hAnsi="黑体" w:eastAsia="黑体" w:cs="黑体"/>
          <w:spacing w:val="0"/>
          <w:sz w:val="14"/>
          <w:szCs w:val="14"/>
        </w:rPr>
        <w:fldChar w:fldCharType="separate"/>
      </w:r>
      <w:r>
        <w:rPr>
          <w:rFonts w:hint="eastAsia" w:ascii="黑体" w:hAnsi="黑体" w:eastAsia="黑体" w:cs="黑体"/>
          <w:spacing w:val="0"/>
          <w:sz w:val="14"/>
          <w:szCs w:val="14"/>
        </w:rPr>
        <w:t>www.ruiandianzi.com</w:t>
      </w:r>
      <w:r>
        <w:rPr>
          <w:rFonts w:hint="eastAsia" w:ascii="黑体" w:hAnsi="黑体" w:eastAsia="黑体" w:cs="黑体"/>
          <w:spacing w:val="0"/>
          <w:sz w:val="14"/>
          <w:szCs w:val="14"/>
        </w:rPr>
        <w:fldChar w:fldCharType="end"/>
      </w:r>
    </w:p>
    <w:p w14:paraId="4432B655">
      <w:pPr>
        <w:keepNext w:val="0"/>
        <w:keepLines w:val="0"/>
        <w:pageBreakBefore w:val="0"/>
        <w:widowControl w:val="0"/>
        <w:kinsoku/>
        <w:wordWrap/>
        <w:overflowPunct/>
        <w:topLinePunct w:val="0"/>
        <w:autoSpaceDE/>
        <w:autoSpaceDN/>
        <w:bidi w:val="0"/>
        <w:adjustRightInd/>
        <w:snapToGrid/>
        <w:spacing w:line="240" w:lineRule="exact"/>
        <w:ind w:firstLine="0" w:firstLineChars="0"/>
        <w:jc w:val="left"/>
        <w:textAlignment w:val="auto"/>
        <w:rPr>
          <w:rFonts w:hint="eastAsia" w:ascii="黑体" w:hAnsi="黑体" w:eastAsia="黑体" w:cs="黑体"/>
          <w:spacing w:val="0"/>
          <w:sz w:val="14"/>
          <w:szCs w:val="14"/>
        </w:rPr>
      </w:pPr>
      <w:r>
        <w:rPr>
          <w:rFonts w:hint="eastAsia" w:ascii="黑体" w:hAnsi="黑体" w:eastAsia="黑体" w:cs="黑体"/>
          <w:spacing w:val="0"/>
          <w:sz w:val="14"/>
          <w:szCs w:val="14"/>
          <w:lang w:val="en-US" w:eastAsia="zh-CN"/>
        </w:rPr>
        <w:t>成品尺寸：100mm(W)x140mm(H)             出版</w:t>
      </w:r>
      <w:r>
        <w:rPr>
          <w:rFonts w:hint="eastAsia" w:ascii="黑体" w:hAnsi="黑体" w:eastAsia="黑体" w:cs="黑体"/>
          <w:spacing w:val="0"/>
          <w:sz w:val="14"/>
          <w:szCs w:val="14"/>
        </w:rPr>
        <w:t>日期：</w:t>
      </w:r>
      <w:r>
        <w:rPr>
          <w:rFonts w:hint="eastAsia" w:ascii="黑体" w:hAnsi="黑体" w:eastAsia="黑体" w:cs="黑体"/>
          <w:spacing w:val="0"/>
          <w:sz w:val="14"/>
          <w:szCs w:val="14"/>
          <w:lang w:val="en-US" w:eastAsia="zh-CN"/>
        </w:rPr>
        <w:t>2025年03</w:t>
      </w:r>
      <w:r>
        <w:rPr>
          <w:rFonts w:hint="eastAsia" w:ascii="黑体" w:hAnsi="黑体" w:eastAsia="黑体" w:cs="黑体"/>
          <w:spacing w:val="0"/>
          <w:sz w:val="14"/>
          <w:szCs w:val="14"/>
        </w:rPr>
        <w:t>月</w:t>
      </w:r>
    </w:p>
    <w:p w14:paraId="3963B0BB">
      <w:pPr>
        <w:keepNext w:val="0"/>
        <w:keepLines w:val="0"/>
        <w:pageBreakBefore w:val="0"/>
        <w:widowControl w:val="0"/>
        <w:kinsoku/>
        <w:wordWrap/>
        <w:overflowPunct/>
        <w:topLinePunct w:val="0"/>
        <w:autoSpaceDE/>
        <w:autoSpaceDN/>
        <w:bidi w:val="0"/>
        <w:adjustRightInd/>
        <w:snapToGrid/>
        <w:spacing w:line="240" w:lineRule="exact"/>
        <w:ind w:firstLine="0" w:firstLineChars="0"/>
        <w:jc w:val="right"/>
        <w:textAlignment w:val="auto"/>
        <w:rPr>
          <w:rFonts w:hint="eastAsia" w:ascii="黑体" w:hAnsi="黑体" w:eastAsia="黑体" w:cs="黑体"/>
          <w:spacing w:val="0"/>
          <w:sz w:val="14"/>
          <w:szCs w:val="14"/>
          <w:lang w:val="en-US" w:eastAsia="zh-CN"/>
        </w:rPr>
      </w:pPr>
      <w:r>
        <w:rPr>
          <w:rFonts w:hint="eastAsia" w:ascii="黑体" w:hAnsi="黑体" w:eastAsia="黑体" w:cs="黑体"/>
          <w:spacing w:val="0"/>
          <w:sz w:val="14"/>
          <w:szCs w:val="14"/>
          <w:lang w:val="en-US" w:eastAsia="zh-CN"/>
        </w:rPr>
        <w:t>LYS.1319</w:t>
      </w:r>
    </w:p>
    <w:sectPr>
      <w:footerReference r:id="rId12" w:type="first"/>
      <w:footerReference r:id="rId11" w:type="default"/>
      <w:pgSz w:w="5669" w:h="7937"/>
      <w:pgMar w:top="680" w:right="680" w:bottom="680" w:left="680" w:header="340" w:footer="397" w:gutter="0"/>
      <w:pgNumType w:fmt="decimal"/>
      <w:cols w:space="0" w:num="1"/>
      <w:titlePg/>
      <w:rtlGutter w:val="0"/>
      <w:docGrid w:type="lines" w:linePitch="32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320"/>
      </w:pPr>
      <w:r>
        <w:separator/>
      </w:r>
    </w:p>
  </w:endnote>
  <w:endnote w:type="continuationSeparator" w:id="1">
    <w:p>
      <w:pPr>
        <w:spacing w:line="240" w:lineRule="auto"/>
        <w:ind w:firstLine="3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思源黑体">
    <w:panose1 w:val="020B0500000000000000"/>
    <w:charset w:val="86"/>
    <w:family w:val="auto"/>
    <w:pitch w:val="default"/>
    <w:sig w:usb0="30000083" w:usb1="2BDF3C10" w:usb2="00000016" w:usb3="00000000" w:csb0="602E0107" w:csb1="00000000"/>
  </w:font>
  <w:font w:name="Book Antiqua">
    <w:panose1 w:val="02040602050305030304"/>
    <w:charset w:val="00"/>
    <w:family w:val="roman"/>
    <w:pitch w:val="default"/>
    <w:sig w:usb0="00000287" w:usb1="00000000" w:usb2="00000000" w:usb3="00000000" w:csb0="2000009F" w:csb1="DFD7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9E6184">
    <w:pPr>
      <w:pStyle w:val="8"/>
    </w:pPr>
    <w:r>
      <w:rPr>
        <w:sz w:val="16"/>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7A2747">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2F7A2747">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B2BF3">
    <w:pPr>
      <w:pStyle w:val="8"/>
    </w:pPr>
    <w:r>
      <w:rPr>
        <w:sz w:val="16"/>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4D2D4D">
                          <w:pPr>
                            <w:pStyle w:val="8"/>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334D2D4D">
                    <w:pPr>
                      <w:pStyle w:val="8"/>
                    </w:pPr>
                    <w:r>
                      <w:fldChar w:fldCharType="begin"/>
                    </w:r>
                    <w:r>
                      <w:instrText xml:space="preserve"> PAGE  \* MERGEFORMAT </w:instrText>
                    </w:r>
                    <w:r>
                      <w:fldChar w:fldCharType="separate"/>
                    </w:r>
                    <w:r>
                      <w:t>0</w:t>
                    </w:r>
                    <w:r>
                      <w:fldChar w:fldCharType="end"/>
                    </w:r>
                  </w:p>
                </w:txbxContent>
              </v:textbox>
            </v:shape>
          </w:pict>
        </mc:Fallback>
      </mc:AlternateContent>
    </w:r>
    <w:r>
      <w:rPr>
        <w:rFonts w:hint="eastAsia"/>
        <w:lang w:val="en-US" w:eastAsia="zh-CN"/>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9CC09">
    <w:pPr>
      <w:pStyle w:val="8"/>
    </w:pPr>
    <w:r>
      <w:rPr>
        <w:sz w:val="16"/>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D442A5A">
                          <w:pPr>
                            <w:pStyle w:val="8"/>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LNJWO7QAAAABQEAAA8AAAAAAAAAAQAgAAAAIgAAAGRycy9kb3ducmV2LnhtbFBLAQIU&#10;ABQAAAAIAIdO4kDPRgVI3wIAACYGAAAOAAAAAAAAAAEAIAAAAB8BAABkcnMvZTJvRG9jLnhtbFBL&#10;BQYAAAAABgAGAFkBAABwBgAAAAA=&#10;">
              <v:fill on="f" focussize="0,0"/>
              <v:stroke on="f" weight="0.5pt"/>
              <v:imagedata o:title=""/>
              <o:lock v:ext="edit" aspectratio="f"/>
              <v:textbox inset="0mm,0mm,0mm,0mm" style="mso-fit-shape-to-text:t;">
                <w:txbxContent>
                  <w:p w14:paraId="7D442A5A">
                    <w:pPr>
                      <w:pStyle w:val="8"/>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AB6E4">
    <w:pPr>
      <w:pStyle w:val="8"/>
    </w:pPr>
    <w:r>
      <w:rPr>
        <w:sz w:val="1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202A288">
                          <w:pPr>
                            <w:pStyle w:val="8"/>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LNJWO7QAAAABQEAAA8AAAAAAAAAAQAgAAAAIgAAAGRycy9kb3ducmV2LnhtbFBLAQIU&#10;ABQAAAAIAIdO4kB0ATZt3wIAACYGAAAOAAAAAAAAAAEAIAAAAB8BAABkcnMvZTJvRG9jLnhtbFBL&#10;BQYAAAAABgAGAFkBAABwBgAAAAA=&#10;">
              <v:fill on="f" focussize="0,0"/>
              <v:stroke on="f" weight="0.5pt"/>
              <v:imagedata o:title=""/>
              <o:lock v:ext="edit" aspectratio="f"/>
              <v:textbox inset="0mm,0mm,0mm,0mm" style="mso-fit-shape-to-text:t;">
                <w:txbxContent>
                  <w:p w14:paraId="5202A288">
                    <w:pPr>
                      <w:pStyle w:val="8"/>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20953">
    <w:pPr>
      <w:pStyle w:val="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02A4C">
    <w:pPr>
      <w:pStyle w:val="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320"/>
      </w:pPr>
      <w:r>
        <w:separator/>
      </w:r>
    </w:p>
  </w:footnote>
  <w:footnote w:type="continuationSeparator" w:id="1">
    <w:p>
      <w:pPr>
        <w:spacing w:line="240" w:lineRule="auto"/>
        <w:ind w:firstLine="3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EF029">
    <w:pPr>
      <w:pStyle w:val="9"/>
      <w:jc w:val="left"/>
    </w:pPr>
    <w:r>
      <w:rPr>
        <w:rFonts w:hint="eastAsia"/>
      </w:rPr>
      <w:t>济南瑞安电子有限公司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E8064">
    <w:pPr>
      <w:pStyle w:val="9"/>
      <w:jc w:val="left"/>
    </w:pPr>
    <w:r>
      <w:rPr>
        <w:rFonts w:hint="eastAsia"/>
      </w:rPr>
      <w:t>济南瑞安电子有限公司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D8B7F7"/>
    <w:multiLevelType w:val="multilevel"/>
    <w:tmpl w:val="89D8B7F7"/>
    <w:lvl w:ilvl="0" w:tentative="0">
      <w:start w:val="1"/>
      <w:numFmt w:val="bullet"/>
      <w:suff w:val="space"/>
      <w:lvlText w:val=""/>
      <w:lvlJc w:val="left"/>
      <w:pPr>
        <w:ind w:left="283" w:leftChars="0" w:hanging="283" w:firstLineChars="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C51A62DE"/>
    <w:multiLevelType w:val="singleLevel"/>
    <w:tmpl w:val="C51A62DE"/>
    <w:lvl w:ilvl="0" w:tentative="0">
      <w:start w:val="3"/>
      <w:numFmt w:val="chineseCounting"/>
      <w:suff w:val="nothing"/>
      <w:lvlText w:val="%1、"/>
      <w:lvlJc w:val="left"/>
      <w:rPr>
        <w:rFonts w:hint="eastAsia"/>
      </w:rPr>
    </w:lvl>
  </w:abstractNum>
  <w:abstractNum w:abstractNumId="2">
    <w:nsid w:val="25D08B7C"/>
    <w:multiLevelType w:val="singleLevel"/>
    <w:tmpl w:val="25D08B7C"/>
    <w:lvl w:ilvl="0" w:tentative="0">
      <w:start w:val="1"/>
      <w:numFmt w:val="decimal"/>
      <w:pStyle w:val="33"/>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0"/>
  <w:drawingGridHorizontalSpacing w:val="90"/>
  <w:drawingGridVerticalSpacing w:val="164"/>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2Y2E4YzdiYmU5ZGI5YTY4YTJhOWZiYWZiMzE0ZjcifQ=="/>
  </w:docVars>
  <w:rsids>
    <w:rsidRoot w:val="00D93414"/>
    <w:rsid w:val="00010B52"/>
    <w:rsid w:val="00012F72"/>
    <w:rsid w:val="00023B5F"/>
    <w:rsid w:val="00043BFE"/>
    <w:rsid w:val="00044BE9"/>
    <w:rsid w:val="00053FEE"/>
    <w:rsid w:val="000615B5"/>
    <w:rsid w:val="0006658E"/>
    <w:rsid w:val="00073EA6"/>
    <w:rsid w:val="0008387F"/>
    <w:rsid w:val="00090F6D"/>
    <w:rsid w:val="0009655B"/>
    <w:rsid w:val="000B2F81"/>
    <w:rsid w:val="000B5C57"/>
    <w:rsid w:val="000C1F22"/>
    <w:rsid w:val="000D0612"/>
    <w:rsid w:val="000D590D"/>
    <w:rsid w:val="000D6EDF"/>
    <w:rsid w:val="000E15DC"/>
    <w:rsid w:val="000E1954"/>
    <w:rsid w:val="00100774"/>
    <w:rsid w:val="00114AB3"/>
    <w:rsid w:val="00123721"/>
    <w:rsid w:val="001265CC"/>
    <w:rsid w:val="00134E54"/>
    <w:rsid w:val="00135B07"/>
    <w:rsid w:val="00135DCB"/>
    <w:rsid w:val="00142697"/>
    <w:rsid w:val="0014672B"/>
    <w:rsid w:val="001573A6"/>
    <w:rsid w:val="00162B42"/>
    <w:rsid w:val="0017284F"/>
    <w:rsid w:val="00182291"/>
    <w:rsid w:val="0018261D"/>
    <w:rsid w:val="001A2712"/>
    <w:rsid w:val="001B0225"/>
    <w:rsid w:val="001C4AA7"/>
    <w:rsid w:val="001D15F7"/>
    <w:rsid w:val="001D3A6F"/>
    <w:rsid w:val="001F1176"/>
    <w:rsid w:val="001F448E"/>
    <w:rsid w:val="00200005"/>
    <w:rsid w:val="00215C96"/>
    <w:rsid w:val="00217549"/>
    <w:rsid w:val="0022199C"/>
    <w:rsid w:val="00233FBF"/>
    <w:rsid w:val="00235AB7"/>
    <w:rsid w:val="00241199"/>
    <w:rsid w:val="002531B3"/>
    <w:rsid w:val="00256BC8"/>
    <w:rsid w:val="00260933"/>
    <w:rsid w:val="002662FC"/>
    <w:rsid w:val="00266847"/>
    <w:rsid w:val="00274A16"/>
    <w:rsid w:val="00283396"/>
    <w:rsid w:val="00294439"/>
    <w:rsid w:val="00295188"/>
    <w:rsid w:val="002B3210"/>
    <w:rsid w:val="002C5599"/>
    <w:rsid w:val="002D247A"/>
    <w:rsid w:val="002D2F20"/>
    <w:rsid w:val="002E5636"/>
    <w:rsid w:val="002F285E"/>
    <w:rsid w:val="00304277"/>
    <w:rsid w:val="003068A0"/>
    <w:rsid w:val="00317549"/>
    <w:rsid w:val="00327E07"/>
    <w:rsid w:val="00333DC6"/>
    <w:rsid w:val="00341A8E"/>
    <w:rsid w:val="0034493D"/>
    <w:rsid w:val="003472A1"/>
    <w:rsid w:val="00351946"/>
    <w:rsid w:val="00352D93"/>
    <w:rsid w:val="00362D9D"/>
    <w:rsid w:val="00365262"/>
    <w:rsid w:val="003667A9"/>
    <w:rsid w:val="003707E3"/>
    <w:rsid w:val="003718F8"/>
    <w:rsid w:val="003940D3"/>
    <w:rsid w:val="003A391F"/>
    <w:rsid w:val="003B00C1"/>
    <w:rsid w:val="003B6FCC"/>
    <w:rsid w:val="003C142B"/>
    <w:rsid w:val="003D2AE8"/>
    <w:rsid w:val="003D3370"/>
    <w:rsid w:val="003D6F32"/>
    <w:rsid w:val="003D7523"/>
    <w:rsid w:val="003E2836"/>
    <w:rsid w:val="003E45F1"/>
    <w:rsid w:val="003E4A02"/>
    <w:rsid w:val="003F5855"/>
    <w:rsid w:val="003F64D6"/>
    <w:rsid w:val="00406A38"/>
    <w:rsid w:val="00411405"/>
    <w:rsid w:val="00423F3E"/>
    <w:rsid w:val="00424142"/>
    <w:rsid w:val="004253C4"/>
    <w:rsid w:val="0043038F"/>
    <w:rsid w:val="00441284"/>
    <w:rsid w:val="00443368"/>
    <w:rsid w:val="00443F1E"/>
    <w:rsid w:val="00456EEF"/>
    <w:rsid w:val="004610AF"/>
    <w:rsid w:val="00467DAA"/>
    <w:rsid w:val="004861C4"/>
    <w:rsid w:val="004878D1"/>
    <w:rsid w:val="00494457"/>
    <w:rsid w:val="00495F1B"/>
    <w:rsid w:val="004A7049"/>
    <w:rsid w:val="004D3D15"/>
    <w:rsid w:val="004E6347"/>
    <w:rsid w:val="00500DFB"/>
    <w:rsid w:val="005018A2"/>
    <w:rsid w:val="00502A78"/>
    <w:rsid w:val="005047CF"/>
    <w:rsid w:val="005055DE"/>
    <w:rsid w:val="00511132"/>
    <w:rsid w:val="005125E8"/>
    <w:rsid w:val="00515774"/>
    <w:rsid w:val="0052292E"/>
    <w:rsid w:val="00522A8C"/>
    <w:rsid w:val="00524D96"/>
    <w:rsid w:val="00526025"/>
    <w:rsid w:val="00532AD0"/>
    <w:rsid w:val="00537846"/>
    <w:rsid w:val="0054330C"/>
    <w:rsid w:val="00544C47"/>
    <w:rsid w:val="00547106"/>
    <w:rsid w:val="00566B5B"/>
    <w:rsid w:val="00572333"/>
    <w:rsid w:val="00575C3B"/>
    <w:rsid w:val="00582CBA"/>
    <w:rsid w:val="00583251"/>
    <w:rsid w:val="0058534F"/>
    <w:rsid w:val="005912C4"/>
    <w:rsid w:val="005C2DF0"/>
    <w:rsid w:val="005D0872"/>
    <w:rsid w:val="005D51D4"/>
    <w:rsid w:val="005D5424"/>
    <w:rsid w:val="005E74D4"/>
    <w:rsid w:val="005E76CF"/>
    <w:rsid w:val="00612074"/>
    <w:rsid w:val="00617F10"/>
    <w:rsid w:val="006224CB"/>
    <w:rsid w:val="00645089"/>
    <w:rsid w:val="0064593B"/>
    <w:rsid w:val="0064602B"/>
    <w:rsid w:val="0066507A"/>
    <w:rsid w:val="00670000"/>
    <w:rsid w:val="00673053"/>
    <w:rsid w:val="006824FD"/>
    <w:rsid w:val="00684DC5"/>
    <w:rsid w:val="00690387"/>
    <w:rsid w:val="006928FC"/>
    <w:rsid w:val="00693344"/>
    <w:rsid w:val="006A7227"/>
    <w:rsid w:val="006B3330"/>
    <w:rsid w:val="006D719A"/>
    <w:rsid w:val="006F0789"/>
    <w:rsid w:val="006F5045"/>
    <w:rsid w:val="00700CE4"/>
    <w:rsid w:val="00707738"/>
    <w:rsid w:val="007234C1"/>
    <w:rsid w:val="00723907"/>
    <w:rsid w:val="0074067E"/>
    <w:rsid w:val="00757AD1"/>
    <w:rsid w:val="007807D1"/>
    <w:rsid w:val="00786FC8"/>
    <w:rsid w:val="0079108D"/>
    <w:rsid w:val="00792D51"/>
    <w:rsid w:val="007A2E4E"/>
    <w:rsid w:val="007A48C1"/>
    <w:rsid w:val="007C0B5C"/>
    <w:rsid w:val="007C0EAF"/>
    <w:rsid w:val="007C3B63"/>
    <w:rsid w:val="007C790B"/>
    <w:rsid w:val="007D2106"/>
    <w:rsid w:val="007D42F5"/>
    <w:rsid w:val="007F76D4"/>
    <w:rsid w:val="00801A23"/>
    <w:rsid w:val="00806027"/>
    <w:rsid w:val="008210D7"/>
    <w:rsid w:val="00831D51"/>
    <w:rsid w:val="00833EBA"/>
    <w:rsid w:val="00863C9A"/>
    <w:rsid w:val="00863D24"/>
    <w:rsid w:val="008661A7"/>
    <w:rsid w:val="0087623B"/>
    <w:rsid w:val="008770FB"/>
    <w:rsid w:val="00884C61"/>
    <w:rsid w:val="0089118C"/>
    <w:rsid w:val="008969D8"/>
    <w:rsid w:val="008A760E"/>
    <w:rsid w:val="008B2A94"/>
    <w:rsid w:val="008B40A4"/>
    <w:rsid w:val="008C3E2E"/>
    <w:rsid w:val="008C6024"/>
    <w:rsid w:val="008E09B6"/>
    <w:rsid w:val="008E19BF"/>
    <w:rsid w:val="008E2D20"/>
    <w:rsid w:val="008F33EC"/>
    <w:rsid w:val="009018D8"/>
    <w:rsid w:val="00904794"/>
    <w:rsid w:val="00905D20"/>
    <w:rsid w:val="00930993"/>
    <w:rsid w:val="00930BCB"/>
    <w:rsid w:val="00946DAF"/>
    <w:rsid w:val="00946FCD"/>
    <w:rsid w:val="00950426"/>
    <w:rsid w:val="00962455"/>
    <w:rsid w:val="0096679A"/>
    <w:rsid w:val="00966A97"/>
    <w:rsid w:val="00971B68"/>
    <w:rsid w:val="00977399"/>
    <w:rsid w:val="009859ED"/>
    <w:rsid w:val="00987B37"/>
    <w:rsid w:val="0099605F"/>
    <w:rsid w:val="009A3DD5"/>
    <w:rsid w:val="009B5AD2"/>
    <w:rsid w:val="009C140C"/>
    <w:rsid w:val="009C576E"/>
    <w:rsid w:val="009C6C1B"/>
    <w:rsid w:val="009D4339"/>
    <w:rsid w:val="009E1084"/>
    <w:rsid w:val="009F4741"/>
    <w:rsid w:val="00A133A3"/>
    <w:rsid w:val="00A158FA"/>
    <w:rsid w:val="00A27399"/>
    <w:rsid w:val="00A279E7"/>
    <w:rsid w:val="00A27EB7"/>
    <w:rsid w:val="00A307FD"/>
    <w:rsid w:val="00A3164F"/>
    <w:rsid w:val="00A31D9A"/>
    <w:rsid w:val="00A4435A"/>
    <w:rsid w:val="00A46610"/>
    <w:rsid w:val="00A81D0F"/>
    <w:rsid w:val="00A82881"/>
    <w:rsid w:val="00A866FF"/>
    <w:rsid w:val="00A90999"/>
    <w:rsid w:val="00A91AB7"/>
    <w:rsid w:val="00A93219"/>
    <w:rsid w:val="00AA3C8C"/>
    <w:rsid w:val="00AA407B"/>
    <w:rsid w:val="00AC0230"/>
    <w:rsid w:val="00AC5E47"/>
    <w:rsid w:val="00AD5536"/>
    <w:rsid w:val="00AE0A58"/>
    <w:rsid w:val="00AE4C2B"/>
    <w:rsid w:val="00AF22CB"/>
    <w:rsid w:val="00AF23DE"/>
    <w:rsid w:val="00AF5062"/>
    <w:rsid w:val="00B17870"/>
    <w:rsid w:val="00B2424E"/>
    <w:rsid w:val="00B25A0E"/>
    <w:rsid w:val="00B273F5"/>
    <w:rsid w:val="00B33154"/>
    <w:rsid w:val="00B40E05"/>
    <w:rsid w:val="00B473C9"/>
    <w:rsid w:val="00B51CEB"/>
    <w:rsid w:val="00B54AB6"/>
    <w:rsid w:val="00B657E2"/>
    <w:rsid w:val="00B65954"/>
    <w:rsid w:val="00B672EE"/>
    <w:rsid w:val="00B74C20"/>
    <w:rsid w:val="00B837F3"/>
    <w:rsid w:val="00B950D1"/>
    <w:rsid w:val="00B953F0"/>
    <w:rsid w:val="00B974A7"/>
    <w:rsid w:val="00BD38F9"/>
    <w:rsid w:val="00BE49F2"/>
    <w:rsid w:val="00C05AD9"/>
    <w:rsid w:val="00C06FB4"/>
    <w:rsid w:val="00C12BB0"/>
    <w:rsid w:val="00C15827"/>
    <w:rsid w:val="00C16003"/>
    <w:rsid w:val="00C221E3"/>
    <w:rsid w:val="00C45F42"/>
    <w:rsid w:val="00C65509"/>
    <w:rsid w:val="00C6661B"/>
    <w:rsid w:val="00C83DA9"/>
    <w:rsid w:val="00CA451E"/>
    <w:rsid w:val="00CC3397"/>
    <w:rsid w:val="00CC625F"/>
    <w:rsid w:val="00CD053E"/>
    <w:rsid w:val="00CD2581"/>
    <w:rsid w:val="00CE3C49"/>
    <w:rsid w:val="00CF0BA6"/>
    <w:rsid w:val="00CF7F31"/>
    <w:rsid w:val="00D026E2"/>
    <w:rsid w:val="00D0366A"/>
    <w:rsid w:val="00D10AD0"/>
    <w:rsid w:val="00D23100"/>
    <w:rsid w:val="00D41BFD"/>
    <w:rsid w:val="00D82CDA"/>
    <w:rsid w:val="00D86ECB"/>
    <w:rsid w:val="00D93414"/>
    <w:rsid w:val="00D95704"/>
    <w:rsid w:val="00DA1968"/>
    <w:rsid w:val="00DB7B1E"/>
    <w:rsid w:val="00DD29DA"/>
    <w:rsid w:val="00DD7363"/>
    <w:rsid w:val="00DE3186"/>
    <w:rsid w:val="00DF1800"/>
    <w:rsid w:val="00DF6897"/>
    <w:rsid w:val="00E017DD"/>
    <w:rsid w:val="00E02497"/>
    <w:rsid w:val="00E2498A"/>
    <w:rsid w:val="00E2722E"/>
    <w:rsid w:val="00E34BE3"/>
    <w:rsid w:val="00E4537B"/>
    <w:rsid w:val="00E558A9"/>
    <w:rsid w:val="00E843D4"/>
    <w:rsid w:val="00E90267"/>
    <w:rsid w:val="00E92EBF"/>
    <w:rsid w:val="00EB14D1"/>
    <w:rsid w:val="00EB3AC3"/>
    <w:rsid w:val="00EB3C16"/>
    <w:rsid w:val="00EB3E44"/>
    <w:rsid w:val="00EC4A93"/>
    <w:rsid w:val="00EC7263"/>
    <w:rsid w:val="00EE691B"/>
    <w:rsid w:val="00EF1136"/>
    <w:rsid w:val="00F02988"/>
    <w:rsid w:val="00F1093E"/>
    <w:rsid w:val="00F17CC4"/>
    <w:rsid w:val="00F22D33"/>
    <w:rsid w:val="00F26B60"/>
    <w:rsid w:val="00F26D5C"/>
    <w:rsid w:val="00F332C7"/>
    <w:rsid w:val="00F570CB"/>
    <w:rsid w:val="00F64927"/>
    <w:rsid w:val="00F64BE9"/>
    <w:rsid w:val="00F71BF6"/>
    <w:rsid w:val="00F75508"/>
    <w:rsid w:val="00F75CE1"/>
    <w:rsid w:val="00F846FB"/>
    <w:rsid w:val="00F86087"/>
    <w:rsid w:val="00F87A3C"/>
    <w:rsid w:val="00F975A2"/>
    <w:rsid w:val="00FA0C41"/>
    <w:rsid w:val="00FA377A"/>
    <w:rsid w:val="00FA63B4"/>
    <w:rsid w:val="00FB05DB"/>
    <w:rsid w:val="00FB1DFD"/>
    <w:rsid w:val="00FC6EF6"/>
    <w:rsid w:val="00FC76F7"/>
    <w:rsid w:val="00FD0867"/>
    <w:rsid w:val="00FD74DA"/>
    <w:rsid w:val="00FE20B4"/>
    <w:rsid w:val="00FF158C"/>
    <w:rsid w:val="00FF5CF4"/>
    <w:rsid w:val="00FF67EE"/>
    <w:rsid w:val="00FF71A1"/>
    <w:rsid w:val="00FF7C04"/>
    <w:rsid w:val="01E25AF3"/>
    <w:rsid w:val="09AD65FB"/>
    <w:rsid w:val="0AA80C00"/>
    <w:rsid w:val="0B2B5AAD"/>
    <w:rsid w:val="0B3B6C5F"/>
    <w:rsid w:val="0BAA3168"/>
    <w:rsid w:val="0DCF16EF"/>
    <w:rsid w:val="0ECA7307"/>
    <w:rsid w:val="129F393D"/>
    <w:rsid w:val="12B971E1"/>
    <w:rsid w:val="12E82390"/>
    <w:rsid w:val="14992731"/>
    <w:rsid w:val="19184E38"/>
    <w:rsid w:val="19F034FD"/>
    <w:rsid w:val="1C8D7E0C"/>
    <w:rsid w:val="1CB44085"/>
    <w:rsid w:val="1D584789"/>
    <w:rsid w:val="241671BC"/>
    <w:rsid w:val="2443021F"/>
    <w:rsid w:val="247D4D67"/>
    <w:rsid w:val="276115AA"/>
    <w:rsid w:val="2A6C52BE"/>
    <w:rsid w:val="2C231B78"/>
    <w:rsid w:val="2C9C6131"/>
    <w:rsid w:val="2CD41293"/>
    <w:rsid w:val="2FFB3907"/>
    <w:rsid w:val="30BF439A"/>
    <w:rsid w:val="3186392A"/>
    <w:rsid w:val="319F0D07"/>
    <w:rsid w:val="371C759B"/>
    <w:rsid w:val="379D7D7F"/>
    <w:rsid w:val="39410733"/>
    <w:rsid w:val="3A4D1669"/>
    <w:rsid w:val="3A6D46D4"/>
    <w:rsid w:val="3AA755AA"/>
    <w:rsid w:val="3AEA7380"/>
    <w:rsid w:val="3CB07404"/>
    <w:rsid w:val="3CF02123"/>
    <w:rsid w:val="3F630120"/>
    <w:rsid w:val="3F853EBE"/>
    <w:rsid w:val="408A463C"/>
    <w:rsid w:val="40AE3A8D"/>
    <w:rsid w:val="42CB1623"/>
    <w:rsid w:val="43D73C4C"/>
    <w:rsid w:val="43E01C6A"/>
    <w:rsid w:val="44045356"/>
    <w:rsid w:val="47E72260"/>
    <w:rsid w:val="48E27C61"/>
    <w:rsid w:val="49E453C7"/>
    <w:rsid w:val="4A7F0A3B"/>
    <w:rsid w:val="4B5F7A3C"/>
    <w:rsid w:val="56724AD9"/>
    <w:rsid w:val="57A07B93"/>
    <w:rsid w:val="58AB2399"/>
    <w:rsid w:val="58E14BBE"/>
    <w:rsid w:val="59B044CD"/>
    <w:rsid w:val="59D5776B"/>
    <w:rsid w:val="59D914E4"/>
    <w:rsid w:val="5C792732"/>
    <w:rsid w:val="5E0F7E5F"/>
    <w:rsid w:val="5E452D31"/>
    <w:rsid w:val="60B04936"/>
    <w:rsid w:val="61AC58C5"/>
    <w:rsid w:val="62783C0B"/>
    <w:rsid w:val="629C65B3"/>
    <w:rsid w:val="6D6B7288"/>
    <w:rsid w:val="6E965955"/>
    <w:rsid w:val="73AB414A"/>
    <w:rsid w:val="75230188"/>
    <w:rsid w:val="75671722"/>
    <w:rsid w:val="75B50E95"/>
    <w:rsid w:val="77A915B3"/>
    <w:rsid w:val="79FB62B8"/>
    <w:rsid w:val="7A30081C"/>
    <w:rsid w:val="7B601297"/>
    <w:rsid w:val="7B84019E"/>
    <w:rsid w:val="7CE313E6"/>
    <w:rsid w:val="7D3E7B51"/>
    <w:rsid w:val="7FB50C7A"/>
    <w:rsid w:val="7FE07B46"/>
    <w:rsid w:val="7FEA3E31"/>
    <w:rsid w:val="7FF941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qFormat="1"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40" w:lineRule="exact"/>
      <w:ind w:firstLine="420" w:firstLineChars="200"/>
      <w:jc w:val="both"/>
    </w:pPr>
    <w:rPr>
      <w:rFonts w:ascii="宋体" w:hAnsi="宋体" w:eastAsia="宋体" w:cs="宋体"/>
      <w:kern w:val="2"/>
      <w:sz w:val="16"/>
      <w:szCs w:val="24"/>
      <w:lang w:val="en-US" w:eastAsia="zh-CN" w:bidi="ar-SA"/>
    </w:rPr>
  </w:style>
  <w:style w:type="paragraph" w:styleId="2">
    <w:name w:val="heading 1"/>
    <w:basedOn w:val="1"/>
    <w:next w:val="1"/>
    <w:link w:val="22"/>
    <w:qFormat/>
    <w:uiPriority w:val="9"/>
    <w:pPr>
      <w:keepNext/>
      <w:keepLines/>
      <w:spacing w:before="80" w:beforeLines="80" w:after="30" w:afterLines="30"/>
      <w:ind w:left="0" w:hanging="420" w:hangingChars="420"/>
      <w:outlineLvl w:val="0"/>
    </w:pPr>
    <w:rPr>
      <w:b/>
      <w:bCs/>
      <w:kern w:val="44"/>
      <w:sz w:val="20"/>
      <w:szCs w:val="44"/>
    </w:rPr>
  </w:style>
  <w:style w:type="paragraph" w:styleId="3">
    <w:name w:val="heading 2"/>
    <w:basedOn w:val="1"/>
    <w:next w:val="1"/>
    <w:link w:val="23"/>
    <w:unhideWhenUsed/>
    <w:qFormat/>
    <w:uiPriority w:val="9"/>
    <w:pPr>
      <w:keepNext/>
      <w:keepLines/>
      <w:ind w:firstLine="0" w:firstLineChars="0"/>
      <w:jc w:val="left"/>
      <w:outlineLvl w:val="1"/>
    </w:pPr>
    <w:rPr>
      <w:rFonts w:ascii="思源黑体" w:hAnsi="思源黑体" w:cs="思源黑体"/>
      <w:b/>
      <w:bCs/>
      <w:szCs w:val="32"/>
    </w:rPr>
  </w:style>
  <w:style w:type="paragraph" w:styleId="4">
    <w:name w:val="heading 3"/>
    <w:basedOn w:val="1"/>
    <w:next w:val="1"/>
    <w:link w:val="24"/>
    <w:semiHidden/>
    <w:unhideWhenUsed/>
    <w:qFormat/>
    <w:uiPriority w:val="9"/>
    <w:pPr>
      <w:keepNext/>
      <w:keepLines/>
      <w:spacing w:before="260" w:after="260" w:line="416" w:lineRule="auto"/>
      <w:outlineLvl w:val="2"/>
    </w:pPr>
    <w:rPr>
      <w:b/>
      <w:bCs/>
      <w:sz w:val="32"/>
      <w:szCs w:val="32"/>
    </w:rPr>
  </w:style>
  <w:style w:type="character" w:default="1" w:styleId="16">
    <w:name w:val="Default Paragraph Font"/>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Plain Text"/>
    <w:basedOn w:val="1"/>
    <w:link w:val="26"/>
    <w:qFormat/>
    <w:uiPriority w:val="99"/>
    <w:rPr>
      <w:rFonts w:ascii="宋体" w:hAnsi="Courier New"/>
      <w:sz w:val="21"/>
      <w:szCs w:val="20"/>
    </w:rPr>
  </w:style>
  <w:style w:type="paragraph" w:styleId="7">
    <w:name w:val="Balloon Text"/>
    <w:basedOn w:val="1"/>
    <w:link w:val="25"/>
    <w:unhideWhenUsed/>
    <w:qFormat/>
    <w:uiPriority w:val="99"/>
    <w:pPr>
      <w:ind w:firstLine="0" w:firstLineChars="0"/>
      <w:jc w:val="center"/>
    </w:pPr>
    <w:rPr>
      <w:sz w:val="15"/>
      <w:szCs w:val="18"/>
    </w:rPr>
  </w:style>
  <w:style w:type="paragraph" w:styleId="8">
    <w:name w:val="footer"/>
    <w:basedOn w:val="1"/>
    <w:link w:val="19"/>
    <w:qFormat/>
    <w:uiPriority w:val="99"/>
    <w:pPr>
      <w:tabs>
        <w:tab w:val="center" w:pos="4153"/>
        <w:tab w:val="right" w:pos="8306"/>
      </w:tabs>
      <w:snapToGrid w:val="0"/>
      <w:jc w:val="left"/>
    </w:pPr>
    <w:rPr>
      <w:szCs w:val="18"/>
    </w:rPr>
  </w:style>
  <w:style w:type="paragraph" w:styleId="9">
    <w:name w:val="header"/>
    <w:basedOn w:val="1"/>
    <w:link w:val="20"/>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center"/>
    </w:pPr>
    <w:rPr>
      <w:szCs w:val="18"/>
    </w:rPr>
  </w:style>
  <w:style w:type="paragraph" w:styleId="10">
    <w:name w:val="toc 1"/>
    <w:basedOn w:val="1"/>
    <w:next w:val="1"/>
    <w:unhideWhenUsed/>
    <w:qFormat/>
    <w:uiPriority w:val="39"/>
    <w:pPr>
      <w:ind w:firstLine="0" w:firstLineChars="0"/>
    </w:pPr>
    <w:rPr>
      <w:sz w:val="16"/>
    </w:rPr>
  </w:style>
  <w:style w:type="paragraph" w:styleId="11">
    <w:name w:val="toc 2"/>
    <w:basedOn w:val="1"/>
    <w:next w:val="1"/>
    <w:unhideWhenUsed/>
    <w:qFormat/>
    <w:uiPriority w:val="39"/>
    <w:pPr>
      <w:ind w:left="420" w:leftChars="200"/>
    </w:pPr>
  </w:style>
  <w:style w:type="paragraph" w:styleId="12">
    <w:name w:val="Normal (Web)"/>
    <w:basedOn w:val="1"/>
    <w:semiHidden/>
    <w:unhideWhenUsed/>
    <w:qFormat/>
    <w:uiPriority w:val="99"/>
    <w:pPr>
      <w:widowControl/>
      <w:spacing w:before="100" w:beforeAutospacing="1" w:after="100" w:afterAutospacing="1"/>
      <w:jc w:val="left"/>
    </w:pPr>
    <w:rPr>
      <w:rFonts w:ascii="宋体" w:hAnsi="宋体" w:cs="宋体"/>
      <w:kern w:val="0"/>
    </w:rPr>
  </w:style>
  <w:style w:type="table" w:styleId="14">
    <w:name w:val="Table Grid"/>
    <w:basedOn w:val="1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5">
    <w:name w:val="Table Professional"/>
    <w:basedOn w:val="13"/>
    <w:semiHidden/>
    <w:unhideWhenUsed/>
    <w:qFormat/>
    <w:uiPriority w:val="99"/>
    <w:pPr>
      <w:widowControl w:val="0"/>
      <w:spacing w:line="320" w:lineRule="exact"/>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character" w:styleId="17">
    <w:name w:val="page number"/>
    <w:basedOn w:val="16"/>
    <w:qFormat/>
    <w:uiPriority w:val="0"/>
  </w:style>
  <w:style w:type="character" w:styleId="18">
    <w:name w:val="Hyperlink"/>
    <w:qFormat/>
    <w:uiPriority w:val="99"/>
    <w:rPr>
      <w:color w:val="0000FF"/>
      <w:u w:val="single"/>
    </w:rPr>
  </w:style>
  <w:style w:type="character" w:customStyle="1" w:styleId="19">
    <w:name w:val="页脚 字符"/>
    <w:basedOn w:val="16"/>
    <w:link w:val="8"/>
    <w:qFormat/>
    <w:uiPriority w:val="99"/>
    <w:rPr>
      <w:rFonts w:ascii="Times New Roman" w:hAnsi="Times New Roman" w:eastAsia="宋体" w:cs="Times New Roman"/>
      <w:sz w:val="18"/>
      <w:szCs w:val="18"/>
    </w:rPr>
  </w:style>
  <w:style w:type="character" w:customStyle="1" w:styleId="20">
    <w:name w:val="页眉 字符"/>
    <w:basedOn w:val="16"/>
    <w:link w:val="9"/>
    <w:qFormat/>
    <w:uiPriority w:val="0"/>
    <w:rPr>
      <w:rFonts w:ascii="Times New Roman" w:hAnsi="Times New Roman" w:eastAsia="思源黑体" w:cs="Times New Roman"/>
      <w:sz w:val="18"/>
      <w:szCs w:val="18"/>
    </w:rPr>
  </w:style>
  <w:style w:type="character" w:customStyle="1" w:styleId="21">
    <w:name w:val="标题 1 字符"/>
    <w:basedOn w:val="16"/>
    <w:qFormat/>
    <w:uiPriority w:val="9"/>
    <w:rPr>
      <w:rFonts w:ascii="Times New Roman" w:hAnsi="Times New Roman" w:eastAsia="宋体" w:cs="Times New Roman"/>
      <w:b/>
      <w:bCs/>
      <w:kern w:val="44"/>
      <w:sz w:val="44"/>
      <w:szCs w:val="44"/>
    </w:rPr>
  </w:style>
  <w:style w:type="character" w:customStyle="1" w:styleId="22">
    <w:name w:val="标题 1 字符1"/>
    <w:link w:val="2"/>
    <w:qFormat/>
    <w:uiPriority w:val="9"/>
    <w:rPr>
      <w:rFonts w:ascii="Times New Roman" w:hAnsi="Times New Roman" w:eastAsia="思源黑体" w:cs="Times New Roman"/>
      <w:b/>
      <w:bCs/>
      <w:kern w:val="44"/>
      <w:sz w:val="20"/>
      <w:szCs w:val="44"/>
    </w:rPr>
  </w:style>
  <w:style w:type="character" w:customStyle="1" w:styleId="23">
    <w:name w:val="标题 2 字符"/>
    <w:basedOn w:val="16"/>
    <w:link w:val="3"/>
    <w:qFormat/>
    <w:uiPriority w:val="9"/>
    <w:rPr>
      <w:rFonts w:ascii="思源黑体" w:hAnsi="思源黑体" w:eastAsia="思源黑体" w:cs="思源黑体"/>
      <w:b/>
      <w:bCs/>
      <w:kern w:val="2"/>
      <w:sz w:val="16"/>
      <w:szCs w:val="32"/>
    </w:rPr>
  </w:style>
  <w:style w:type="character" w:customStyle="1" w:styleId="24">
    <w:name w:val="标题 3 字符"/>
    <w:basedOn w:val="16"/>
    <w:link w:val="4"/>
    <w:semiHidden/>
    <w:qFormat/>
    <w:uiPriority w:val="9"/>
    <w:rPr>
      <w:rFonts w:ascii="Times New Roman" w:hAnsi="Times New Roman" w:eastAsia="宋体" w:cs="Times New Roman"/>
      <w:b/>
      <w:bCs/>
      <w:sz w:val="32"/>
      <w:szCs w:val="32"/>
    </w:rPr>
  </w:style>
  <w:style w:type="character" w:customStyle="1" w:styleId="25">
    <w:name w:val="批注框文本 字符"/>
    <w:basedOn w:val="16"/>
    <w:link w:val="7"/>
    <w:semiHidden/>
    <w:qFormat/>
    <w:uiPriority w:val="99"/>
    <w:rPr>
      <w:rFonts w:ascii="Times New Roman" w:hAnsi="Times New Roman" w:eastAsia="思源黑体" w:cs="Times New Roman"/>
      <w:sz w:val="15"/>
      <w:szCs w:val="18"/>
    </w:rPr>
  </w:style>
  <w:style w:type="character" w:customStyle="1" w:styleId="26">
    <w:name w:val="纯文本 字符"/>
    <w:basedOn w:val="16"/>
    <w:link w:val="6"/>
    <w:semiHidden/>
    <w:qFormat/>
    <w:uiPriority w:val="99"/>
    <w:rPr>
      <w:rFonts w:ascii="宋体" w:hAnsi="Courier New" w:eastAsia="宋体" w:cs="Times New Roman"/>
      <w:szCs w:val="20"/>
    </w:rPr>
  </w:style>
  <w:style w:type="paragraph" w:styleId="27">
    <w:name w:val="List Paragraph"/>
    <w:basedOn w:val="1"/>
    <w:qFormat/>
    <w:uiPriority w:val="34"/>
    <w:pPr>
      <w:ind w:firstLine="420" w:firstLineChars="200"/>
    </w:pPr>
  </w:style>
  <w:style w:type="paragraph" w:customStyle="1" w:styleId="28">
    <w:name w:val="Table Heading"/>
    <w:basedOn w:val="1"/>
    <w:qFormat/>
    <w:uiPriority w:val="0"/>
    <w:pPr>
      <w:keepNext/>
      <w:topLinePunct/>
      <w:adjustRightInd w:val="0"/>
      <w:snapToGrid w:val="0"/>
      <w:spacing w:before="80" w:after="80" w:line="240" w:lineRule="atLeast"/>
      <w:jc w:val="left"/>
    </w:pPr>
    <w:rPr>
      <w:rFonts w:ascii="Calibri" w:hAnsi="Calibri" w:eastAsia="黑体" w:cs="Book Antiqua"/>
      <w:bCs/>
      <w:snapToGrid w:val="0"/>
      <w:kern w:val="0"/>
      <w:szCs w:val="21"/>
    </w:rPr>
  </w:style>
  <w:style w:type="paragraph" w:customStyle="1" w:styleId="29">
    <w:name w:val="Table Text"/>
    <w:basedOn w:val="1"/>
    <w:qFormat/>
    <w:uiPriority w:val="0"/>
    <w:pPr>
      <w:keepNext/>
      <w:topLinePunct/>
      <w:adjustRightInd w:val="0"/>
      <w:snapToGrid w:val="0"/>
      <w:spacing w:before="80" w:after="80" w:line="240" w:lineRule="atLeast"/>
    </w:pPr>
    <w:rPr>
      <w:rFonts w:ascii="Calibri" w:hAnsi="Calibri" w:eastAsia="华文细黑" w:cs="Arial"/>
      <w:snapToGrid w:val="0"/>
      <w:kern w:val="0"/>
      <w:szCs w:val="21"/>
    </w:rPr>
  </w:style>
  <w:style w:type="table" w:customStyle="1" w:styleId="30">
    <w:name w:val="table"/>
    <w:basedOn w:val="15"/>
    <w:qFormat/>
    <w:uiPriority w:val="0"/>
    <w:pPr>
      <w:widowControl/>
      <w:spacing w:line="240" w:lineRule="auto"/>
    </w:pPr>
    <w:rPr>
      <w:rFonts w:ascii="Times New Roman" w:hAnsi="Times New Roman" w:eastAsia="Times New Roman" w:cs="Arial"/>
    </w:rPr>
    <w:tblPr/>
    <w:trPr>
      <w:cantSplit/>
    </w:trPr>
    <w:tcPr>
      <w:shd w:val="clear" w:color="auto" w:fill="auto"/>
    </w:tcPr>
    <w:tblStylePr w:type="firstRow">
      <w:rPr>
        <w:b w:val="0"/>
        <w:bCs w:val="0"/>
        <w:i w:val="0"/>
        <w:iCs w:val="0"/>
        <w:color w:val="auto"/>
        <w:sz w:val="20"/>
        <w:szCs w:val="20"/>
      </w:rPr>
      <w:tblPr/>
      <w:trPr>
        <w:tblHeader/>
      </w:t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paragraph" w:customStyle="1" w:styleId="31">
    <w:name w:val="Item Text"/>
    <w:qFormat/>
    <w:uiPriority w:val="0"/>
    <w:pPr>
      <w:adjustRightInd w:val="0"/>
      <w:snapToGrid w:val="0"/>
      <w:spacing w:before="80" w:after="80" w:line="240" w:lineRule="atLeast"/>
      <w:ind w:left="822"/>
    </w:pPr>
    <w:rPr>
      <w:rFonts w:ascii="Calibri" w:hAnsi="Calibri" w:eastAsia="华文细黑" w:cs="Times New Roman"/>
      <w:kern w:val="2"/>
      <w:sz w:val="24"/>
      <w:szCs w:val="21"/>
      <w:lang w:val="en-US" w:eastAsia="zh-CN" w:bidi="ar-SA"/>
    </w:rPr>
  </w:style>
  <w:style w:type="paragraph" w:customStyle="1" w:styleId="32">
    <w:name w:val="正文2"/>
    <w:basedOn w:val="1"/>
    <w:next w:val="1"/>
    <w:qFormat/>
    <w:uiPriority w:val="0"/>
    <w:pPr>
      <w:adjustRightInd w:val="0"/>
      <w:snapToGrid w:val="0"/>
      <w:spacing w:line="440" w:lineRule="exact"/>
      <w:ind w:firstLine="560" w:firstLineChars="200"/>
    </w:pPr>
    <w:rPr>
      <w:rFonts w:hint="eastAsia" w:ascii="思源黑体" w:hAnsi="思源黑体" w:eastAsia="思源黑体" w:cs="思源黑体"/>
      <w:sz w:val="28"/>
      <w:szCs w:val="28"/>
    </w:rPr>
  </w:style>
  <w:style w:type="paragraph" w:customStyle="1" w:styleId="33">
    <w:name w:val="大标题"/>
    <w:basedOn w:val="1"/>
    <w:next w:val="34"/>
    <w:qFormat/>
    <w:uiPriority w:val="0"/>
    <w:pPr>
      <w:numPr>
        <w:ilvl w:val="0"/>
        <w:numId w:val="1"/>
      </w:numPr>
      <w:adjustRightInd w:val="0"/>
      <w:snapToGrid w:val="0"/>
      <w:spacing w:line="600" w:lineRule="exact"/>
      <w:outlineLvl w:val="0"/>
    </w:pPr>
    <w:rPr>
      <w:rFonts w:hint="eastAsia" w:ascii="思源黑体" w:hAnsi="思源黑体" w:eastAsia="思源黑体" w:cs="思源黑体"/>
      <w:sz w:val="36"/>
      <w:szCs w:val="36"/>
    </w:rPr>
  </w:style>
  <w:style w:type="paragraph" w:customStyle="1" w:styleId="34">
    <w:name w:val="小标题"/>
    <w:basedOn w:val="1"/>
    <w:next w:val="32"/>
    <w:qFormat/>
    <w:uiPriority w:val="0"/>
    <w:pPr>
      <w:adjustRightInd w:val="0"/>
      <w:snapToGrid w:val="0"/>
      <w:spacing w:line="480" w:lineRule="exact"/>
      <w:ind w:firstLine="0" w:firstLineChars="0"/>
      <w:outlineLvl w:val="1"/>
    </w:pPr>
    <w:rPr>
      <w:rFonts w:hint="eastAsia" w:ascii="思源黑体" w:hAnsi="思源黑体" w:eastAsia="思源黑体" w:cs="思源黑体"/>
      <w:sz w:val="32"/>
      <w:szCs w:val="32"/>
    </w:rPr>
  </w:style>
  <w:style w:type="paragraph" w:customStyle="1" w:styleId="35">
    <w:name w:val="注"/>
    <w:basedOn w:val="1"/>
    <w:qFormat/>
    <w:uiPriority w:val="0"/>
    <w:rPr>
      <w:rFonts w:hint="eastAsia"/>
      <w:b/>
      <w:sz w:val="12"/>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wmf"/><Relationship Id="rId23" Type="http://schemas.openxmlformats.org/officeDocument/2006/relationships/oleObject" Target="embeddings/oleObject2.bin"/><Relationship Id="rId22" Type="http://schemas.openxmlformats.org/officeDocument/2006/relationships/image" Target="media/image8.png"/><Relationship Id="rId21" Type="http://schemas.openxmlformats.org/officeDocument/2006/relationships/image" Target="media/image7.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Info spid="_x0000_s1033"/>
    <customShpInfo spid="_x0000_s103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DAF9D5-786F-48D7-A746-61374CD501F6}">
  <ds:schemaRefs/>
</ds:datastoreItem>
</file>

<file path=docProps/app.xml><?xml version="1.0" encoding="utf-8"?>
<Properties xmlns="http://schemas.openxmlformats.org/officeDocument/2006/extended-properties" xmlns:vt="http://schemas.openxmlformats.org/officeDocument/2006/docPropsVTypes">
  <Template>Normal.dotm</Template>
  <Pages>24</Pages>
  <Words>2215</Words>
  <Characters>2426</Characters>
  <Lines>70</Lines>
  <Paragraphs>19</Paragraphs>
  <TotalTime>0</TotalTime>
  <ScaleCrop>false</ScaleCrop>
  <LinksUpToDate>false</LinksUpToDate>
  <CharactersWithSpaces>2572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2020-10-12T06:19:00Z</dcterms:created>
  <dc:creator>Administrator</dc:creator>
  <cp:lastModifiedBy>min之敏</cp:lastModifiedBy>
  <cp:lastPrinted>2021-07-03T08:12:00Z</cp:lastPrinted>
  <dcterms:modified xsi:type="dcterms:W3CDTF">2025-04-15T05:32:45Z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8EA6AFAC5F3C4CCE9F1C6B6162DAECC0_13</vt:lpwstr>
  </property>
  <property fmtid="{D5CDD505-2E9C-101B-9397-08002B2CF9AE}" pid="4" name="KSOTemplateDocerSaveRecord">
    <vt:lpwstr>eyJoZGlkIjoiNTA1ZmRkZjFiM2EzOTBiNDg4OGRmMzFiODA2ZWFhMTkiLCJ1c2VySWQiOiIzMjI1ODU5NzEifQ==</vt:lpwstr>
  </property>
</Properties>
</file>